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E4749" w14:textId="745F2776" w:rsidR="00C31852" w:rsidRPr="00E214F3" w:rsidRDefault="00C31852" w:rsidP="001502E0">
      <w:pPr>
        <w:rPr>
          <w:rFonts w:ascii="Times New Roman" w:hAnsi="Times New Roman" w:cs="Times New Roman"/>
        </w:rPr>
      </w:pPr>
    </w:p>
    <w:p w14:paraId="0179D880" w14:textId="3A735914" w:rsidR="001502E0" w:rsidRPr="00E214F3" w:rsidRDefault="001502E0" w:rsidP="001502E0">
      <w:pPr>
        <w:rPr>
          <w:rFonts w:ascii="Times New Roman" w:hAnsi="Times New Roman" w:cs="Times New Roman"/>
        </w:rPr>
      </w:pPr>
    </w:p>
    <w:tbl>
      <w:tblPr>
        <w:tblStyle w:val="Tabela-Siatka"/>
        <w:tblW w:w="0" w:type="auto"/>
        <w:tblLook w:val="04A0" w:firstRow="1" w:lastRow="0" w:firstColumn="1" w:lastColumn="0" w:noHBand="0" w:noVBand="1"/>
      </w:tblPr>
      <w:tblGrid>
        <w:gridCol w:w="522"/>
        <w:gridCol w:w="1548"/>
        <w:gridCol w:w="1747"/>
        <w:gridCol w:w="5250"/>
        <w:gridCol w:w="4395"/>
      </w:tblGrid>
      <w:tr w:rsidR="006B43A7" w:rsidRPr="00E214F3" w14:paraId="48D447AB" w14:textId="744F9963" w:rsidTr="006B43A7">
        <w:tc>
          <w:tcPr>
            <w:tcW w:w="13462" w:type="dxa"/>
            <w:gridSpan w:val="5"/>
          </w:tcPr>
          <w:p w14:paraId="493A16F4" w14:textId="77777777" w:rsidR="009B3704" w:rsidRDefault="009B3704" w:rsidP="001502E0">
            <w:pPr>
              <w:jc w:val="center"/>
              <w:rPr>
                <w:rFonts w:ascii="Times New Roman" w:hAnsi="Times New Roman" w:cs="Times New Roman"/>
                <w:b/>
                <w:bCs/>
                <w:sz w:val="24"/>
                <w:szCs w:val="24"/>
              </w:rPr>
            </w:pPr>
          </w:p>
          <w:p w14:paraId="0D21FD1E" w14:textId="7F04227F" w:rsidR="006B43A7" w:rsidRDefault="0015086E" w:rsidP="001502E0">
            <w:pPr>
              <w:jc w:val="center"/>
              <w:rPr>
                <w:rFonts w:ascii="Times New Roman" w:hAnsi="Times New Roman" w:cs="Times New Roman"/>
                <w:b/>
                <w:bCs/>
                <w:sz w:val="24"/>
                <w:szCs w:val="24"/>
              </w:rPr>
            </w:pPr>
            <w:r>
              <w:rPr>
                <w:rFonts w:ascii="Times New Roman" w:hAnsi="Times New Roman" w:cs="Times New Roman"/>
                <w:b/>
                <w:bCs/>
                <w:sz w:val="24"/>
                <w:szCs w:val="24"/>
              </w:rPr>
              <w:t>T</w:t>
            </w:r>
            <w:r w:rsidR="006B43A7" w:rsidRPr="00E214F3">
              <w:rPr>
                <w:rFonts w:ascii="Times New Roman" w:hAnsi="Times New Roman" w:cs="Times New Roman"/>
                <w:b/>
                <w:bCs/>
                <w:sz w:val="24"/>
                <w:szCs w:val="24"/>
              </w:rPr>
              <w:t>abela uwag</w:t>
            </w:r>
            <w:r>
              <w:rPr>
                <w:rFonts w:ascii="Times New Roman" w:hAnsi="Times New Roman" w:cs="Times New Roman"/>
                <w:b/>
                <w:bCs/>
                <w:sz w:val="24"/>
                <w:szCs w:val="24"/>
              </w:rPr>
              <w:t xml:space="preserve"> nieuwzględnionych w ramach </w:t>
            </w:r>
            <w:r w:rsidR="009A6C2C">
              <w:rPr>
                <w:rFonts w:ascii="Times New Roman" w:hAnsi="Times New Roman" w:cs="Times New Roman"/>
                <w:b/>
                <w:bCs/>
                <w:sz w:val="24"/>
                <w:szCs w:val="24"/>
              </w:rPr>
              <w:t>konsultacji</w:t>
            </w:r>
            <w:r>
              <w:rPr>
                <w:rFonts w:ascii="Times New Roman" w:hAnsi="Times New Roman" w:cs="Times New Roman"/>
                <w:b/>
                <w:bCs/>
                <w:sz w:val="24"/>
                <w:szCs w:val="24"/>
              </w:rPr>
              <w:t xml:space="preserve"> publicznych</w:t>
            </w:r>
            <w:r w:rsidR="009A6C2C">
              <w:rPr>
                <w:rFonts w:ascii="Times New Roman" w:hAnsi="Times New Roman" w:cs="Times New Roman"/>
                <w:b/>
                <w:bCs/>
                <w:sz w:val="24"/>
                <w:szCs w:val="24"/>
              </w:rPr>
              <w:t xml:space="preserve"> i opiniowania</w:t>
            </w:r>
          </w:p>
          <w:p w14:paraId="45EC9D20" w14:textId="7C38EFFE" w:rsidR="00160AA4" w:rsidRDefault="0015086E" w:rsidP="001502E0">
            <w:pPr>
              <w:jc w:val="center"/>
              <w:rPr>
                <w:rFonts w:ascii="Times New Roman" w:hAnsi="Times New Roman" w:cs="Times New Roman"/>
                <w:i/>
                <w:iCs/>
              </w:rPr>
            </w:pPr>
            <w:r>
              <w:rPr>
                <w:rFonts w:ascii="Times New Roman" w:hAnsi="Times New Roman" w:cs="Times New Roman"/>
                <w:i/>
                <w:iCs/>
              </w:rPr>
              <w:t xml:space="preserve">projektu </w:t>
            </w:r>
            <w:r w:rsidR="00160AA4" w:rsidRPr="00160AA4">
              <w:rPr>
                <w:rFonts w:ascii="Times New Roman" w:hAnsi="Times New Roman" w:cs="Times New Roman"/>
                <w:i/>
                <w:iCs/>
              </w:rPr>
              <w:t>rozporządzeni</w:t>
            </w:r>
            <w:r>
              <w:rPr>
                <w:rFonts w:ascii="Times New Roman" w:hAnsi="Times New Roman" w:cs="Times New Roman"/>
                <w:i/>
                <w:iCs/>
              </w:rPr>
              <w:t>a Ministra Sprawiedliwości</w:t>
            </w:r>
            <w:r w:rsidR="00160AA4" w:rsidRPr="00160AA4">
              <w:rPr>
                <w:rFonts w:ascii="Times New Roman" w:hAnsi="Times New Roman" w:cs="Times New Roman"/>
                <w:i/>
                <w:iCs/>
              </w:rPr>
              <w:t xml:space="preserve"> zmieniające</w:t>
            </w:r>
            <w:r>
              <w:rPr>
                <w:rFonts w:ascii="Times New Roman" w:hAnsi="Times New Roman" w:cs="Times New Roman"/>
                <w:i/>
                <w:iCs/>
              </w:rPr>
              <w:t>go</w:t>
            </w:r>
            <w:r w:rsidR="00160AA4" w:rsidRPr="00160AA4">
              <w:rPr>
                <w:rFonts w:ascii="Times New Roman" w:hAnsi="Times New Roman" w:cs="Times New Roman"/>
                <w:i/>
                <w:iCs/>
              </w:rPr>
              <w:t xml:space="preserve"> rozporządzenie </w:t>
            </w:r>
            <w:r w:rsidR="00160AA4" w:rsidRPr="00F95FBA">
              <w:rPr>
                <w:rFonts w:ascii="Times New Roman" w:hAnsi="Times New Roman" w:cs="Times New Roman"/>
                <w:i/>
                <w:iCs/>
              </w:rPr>
              <w:t>w sprawie sposobu wnoszenia pism procesowych za pośrednictwem systemu teleinformatycznego obsługującego postępowanie sądowe</w:t>
            </w:r>
          </w:p>
          <w:p w14:paraId="2F5BE5CD" w14:textId="65C4DF9A" w:rsidR="0015086E" w:rsidRPr="0015086E" w:rsidRDefault="0015086E" w:rsidP="001502E0">
            <w:pPr>
              <w:jc w:val="center"/>
              <w:rPr>
                <w:rFonts w:ascii="Times New Roman" w:hAnsi="Times New Roman" w:cs="Times New Roman"/>
              </w:rPr>
            </w:pPr>
            <w:r w:rsidRPr="0015086E">
              <w:rPr>
                <w:rFonts w:ascii="Times New Roman" w:hAnsi="Times New Roman" w:cs="Times New Roman"/>
              </w:rPr>
              <w:t>B563</w:t>
            </w:r>
          </w:p>
          <w:p w14:paraId="42837961" w14:textId="4C49CA8F" w:rsidR="009B3704" w:rsidRPr="00E214F3" w:rsidRDefault="009B3704" w:rsidP="001502E0">
            <w:pPr>
              <w:jc w:val="center"/>
              <w:rPr>
                <w:rFonts w:ascii="Times New Roman" w:hAnsi="Times New Roman" w:cs="Times New Roman"/>
                <w:b/>
                <w:bCs/>
                <w:sz w:val="24"/>
                <w:szCs w:val="24"/>
              </w:rPr>
            </w:pPr>
          </w:p>
        </w:tc>
      </w:tr>
      <w:tr w:rsidR="006B43A7" w:rsidRPr="00F95FBA" w14:paraId="3CBCF303" w14:textId="51431AFE" w:rsidTr="006B43A7">
        <w:tc>
          <w:tcPr>
            <w:tcW w:w="522" w:type="dxa"/>
            <w:vAlign w:val="center"/>
          </w:tcPr>
          <w:p w14:paraId="12CE4543" w14:textId="07545F9A" w:rsidR="006B43A7" w:rsidRPr="00F95FBA" w:rsidRDefault="006B43A7" w:rsidP="001502E0">
            <w:pPr>
              <w:jc w:val="center"/>
              <w:rPr>
                <w:rFonts w:ascii="Times New Roman" w:hAnsi="Times New Roman" w:cs="Times New Roman"/>
              </w:rPr>
            </w:pPr>
            <w:r w:rsidRPr="00F95FBA">
              <w:rPr>
                <w:rFonts w:ascii="Times New Roman" w:hAnsi="Times New Roman" w:cs="Times New Roman"/>
              </w:rPr>
              <w:t>Lp.</w:t>
            </w:r>
          </w:p>
        </w:tc>
        <w:tc>
          <w:tcPr>
            <w:tcW w:w="1548" w:type="dxa"/>
            <w:vAlign w:val="center"/>
          </w:tcPr>
          <w:p w14:paraId="0E43E286" w14:textId="484AB2F5" w:rsidR="006B43A7" w:rsidRPr="00F95FBA" w:rsidRDefault="006B43A7" w:rsidP="001502E0">
            <w:pPr>
              <w:jc w:val="center"/>
              <w:rPr>
                <w:rFonts w:ascii="Times New Roman" w:hAnsi="Times New Roman" w:cs="Times New Roman"/>
              </w:rPr>
            </w:pPr>
            <w:r w:rsidRPr="00F95FBA">
              <w:rPr>
                <w:rFonts w:ascii="Times New Roman" w:hAnsi="Times New Roman" w:cs="Times New Roman"/>
              </w:rPr>
              <w:t>Zgłaszający uwagę</w:t>
            </w:r>
          </w:p>
        </w:tc>
        <w:tc>
          <w:tcPr>
            <w:tcW w:w="1747" w:type="dxa"/>
            <w:vAlign w:val="center"/>
          </w:tcPr>
          <w:p w14:paraId="0A0C5555" w14:textId="4BA252AE" w:rsidR="006B43A7" w:rsidRPr="00F95FBA" w:rsidRDefault="006B43A7" w:rsidP="001502E0">
            <w:pPr>
              <w:jc w:val="center"/>
              <w:rPr>
                <w:rFonts w:ascii="Times New Roman" w:hAnsi="Times New Roman" w:cs="Times New Roman"/>
              </w:rPr>
            </w:pPr>
            <w:r w:rsidRPr="00F95FBA">
              <w:rPr>
                <w:rFonts w:ascii="Times New Roman" w:hAnsi="Times New Roman" w:cs="Times New Roman"/>
              </w:rPr>
              <w:t>Uwaga dotyczy</w:t>
            </w:r>
          </w:p>
        </w:tc>
        <w:tc>
          <w:tcPr>
            <w:tcW w:w="5250" w:type="dxa"/>
            <w:vAlign w:val="center"/>
          </w:tcPr>
          <w:p w14:paraId="5D55F795" w14:textId="4B39F8D8" w:rsidR="006B43A7" w:rsidRPr="00F95FBA" w:rsidRDefault="006B43A7" w:rsidP="001502E0">
            <w:pPr>
              <w:jc w:val="center"/>
              <w:rPr>
                <w:rFonts w:ascii="Times New Roman" w:hAnsi="Times New Roman" w:cs="Times New Roman"/>
              </w:rPr>
            </w:pPr>
            <w:r w:rsidRPr="00F95FBA">
              <w:rPr>
                <w:rFonts w:ascii="Times New Roman" w:hAnsi="Times New Roman" w:cs="Times New Roman"/>
              </w:rPr>
              <w:t>Treść uwagi</w:t>
            </w:r>
          </w:p>
        </w:tc>
        <w:tc>
          <w:tcPr>
            <w:tcW w:w="4395" w:type="dxa"/>
            <w:vAlign w:val="center"/>
          </w:tcPr>
          <w:p w14:paraId="46080537" w14:textId="3528AC0E" w:rsidR="006B43A7" w:rsidRPr="00F95FBA" w:rsidRDefault="006B43A7" w:rsidP="001502E0">
            <w:pPr>
              <w:jc w:val="center"/>
              <w:rPr>
                <w:rFonts w:ascii="Times New Roman" w:hAnsi="Times New Roman" w:cs="Times New Roman"/>
              </w:rPr>
            </w:pPr>
            <w:r w:rsidRPr="00F95FBA">
              <w:rPr>
                <w:rFonts w:ascii="Times New Roman" w:hAnsi="Times New Roman" w:cs="Times New Roman"/>
              </w:rPr>
              <w:t>Odniesienie do uwagi</w:t>
            </w:r>
          </w:p>
        </w:tc>
      </w:tr>
      <w:tr w:rsidR="0075590A" w:rsidRPr="00F95FBA" w14:paraId="2FCBB613" w14:textId="77777777" w:rsidTr="006B43A7">
        <w:tc>
          <w:tcPr>
            <w:tcW w:w="522" w:type="dxa"/>
          </w:tcPr>
          <w:p w14:paraId="200AAE45" w14:textId="2F912696" w:rsidR="0075590A" w:rsidRPr="00F95FBA" w:rsidRDefault="00071D64" w:rsidP="009B3704">
            <w:pPr>
              <w:jc w:val="both"/>
              <w:rPr>
                <w:rFonts w:ascii="Times New Roman" w:hAnsi="Times New Roman" w:cs="Times New Roman"/>
              </w:rPr>
            </w:pPr>
            <w:r>
              <w:rPr>
                <w:rFonts w:ascii="Times New Roman" w:hAnsi="Times New Roman" w:cs="Times New Roman"/>
              </w:rPr>
              <w:t>1.</w:t>
            </w:r>
          </w:p>
        </w:tc>
        <w:tc>
          <w:tcPr>
            <w:tcW w:w="1548" w:type="dxa"/>
          </w:tcPr>
          <w:p w14:paraId="54CC62A2" w14:textId="395C0182" w:rsidR="0075590A" w:rsidRPr="00F95FBA" w:rsidRDefault="0075590A" w:rsidP="009B3704">
            <w:pPr>
              <w:jc w:val="both"/>
              <w:rPr>
                <w:rFonts w:ascii="Times New Roman" w:hAnsi="Times New Roman" w:cs="Times New Roman"/>
              </w:rPr>
            </w:pPr>
            <w:r w:rsidRPr="00F95FBA">
              <w:rPr>
                <w:rFonts w:ascii="Times New Roman" w:hAnsi="Times New Roman" w:cs="Times New Roman"/>
              </w:rPr>
              <w:t xml:space="preserve">SA Wrocław – Oddział Informatyczny </w:t>
            </w:r>
            <w:proofErr w:type="spellStart"/>
            <w:r w:rsidRPr="00F95FBA">
              <w:rPr>
                <w:rFonts w:ascii="Times New Roman" w:hAnsi="Times New Roman" w:cs="Times New Roman"/>
              </w:rPr>
              <w:t>CKiIS</w:t>
            </w:r>
            <w:proofErr w:type="spellEnd"/>
          </w:p>
        </w:tc>
        <w:tc>
          <w:tcPr>
            <w:tcW w:w="1747" w:type="dxa"/>
          </w:tcPr>
          <w:p w14:paraId="3FF0CB53" w14:textId="12A5B0FF" w:rsidR="0075590A" w:rsidRPr="00F95FBA" w:rsidRDefault="00AF619C" w:rsidP="009B3704">
            <w:pPr>
              <w:jc w:val="both"/>
              <w:rPr>
                <w:rFonts w:ascii="Times New Roman" w:hAnsi="Times New Roman" w:cs="Times New Roman"/>
              </w:rPr>
            </w:pPr>
            <w:r w:rsidRPr="00F95FBA">
              <w:rPr>
                <w:rFonts w:ascii="Times New Roman" w:hAnsi="Times New Roman" w:cs="Times New Roman"/>
              </w:rPr>
              <w:t xml:space="preserve">§ 1 pkt </w:t>
            </w:r>
            <w:r>
              <w:rPr>
                <w:rFonts w:ascii="Times New Roman" w:hAnsi="Times New Roman" w:cs="Times New Roman"/>
              </w:rPr>
              <w:t>1</w:t>
            </w:r>
          </w:p>
        </w:tc>
        <w:tc>
          <w:tcPr>
            <w:tcW w:w="5250" w:type="dxa"/>
          </w:tcPr>
          <w:p w14:paraId="7F30A51C" w14:textId="7BC6A7C8" w:rsidR="00AF619C" w:rsidRPr="00AF619C" w:rsidRDefault="00AF619C" w:rsidP="00AF619C">
            <w:pPr>
              <w:pStyle w:val="Default"/>
              <w:jc w:val="both"/>
              <w:rPr>
                <w:rFonts w:ascii="Times New Roman" w:hAnsi="Times New Roman" w:cs="Times New Roman"/>
                <w:sz w:val="22"/>
                <w:szCs w:val="22"/>
              </w:rPr>
            </w:pPr>
            <w:r w:rsidRPr="00AF619C">
              <w:rPr>
                <w:rFonts w:ascii="Times New Roman" w:hAnsi="Times New Roman" w:cs="Times New Roman"/>
                <w:b/>
                <w:bCs/>
                <w:sz w:val="22"/>
                <w:szCs w:val="22"/>
              </w:rPr>
              <w:t xml:space="preserve">dot. § 1 pkt </w:t>
            </w:r>
            <w:r w:rsidRPr="00AF619C">
              <w:rPr>
                <w:rFonts w:ascii="Times New Roman" w:hAnsi="Times New Roman" w:cs="Times New Roman"/>
                <w:b/>
                <w:bCs/>
                <w:sz w:val="22"/>
                <w:szCs w:val="22"/>
              </w:rPr>
              <w:t>1</w:t>
            </w:r>
            <w:r w:rsidRPr="00AF619C">
              <w:rPr>
                <w:rFonts w:ascii="Times New Roman" w:hAnsi="Times New Roman" w:cs="Times New Roman"/>
                <w:b/>
                <w:bCs/>
                <w:sz w:val="22"/>
                <w:szCs w:val="22"/>
              </w:rPr>
              <w:t xml:space="preserve"> – zmieniany § </w:t>
            </w:r>
            <w:r w:rsidRPr="00AF619C">
              <w:rPr>
                <w:rFonts w:ascii="Times New Roman" w:hAnsi="Times New Roman" w:cs="Times New Roman"/>
                <w:b/>
                <w:bCs/>
                <w:sz w:val="22"/>
                <w:szCs w:val="22"/>
              </w:rPr>
              <w:t>1</w:t>
            </w:r>
            <w:r w:rsidRPr="00AF619C">
              <w:rPr>
                <w:rFonts w:ascii="Times New Roman" w:hAnsi="Times New Roman" w:cs="Times New Roman"/>
                <w:b/>
                <w:bCs/>
                <w:sz w:val="22"/>
                <w:szCs w:val="22"/>
              </w:rPr>
              <w:t xml:space="preserve"> </w:t>
            </w:r>
            <w:r w:rsidRPr="00AF619C">
              <w:rPr>
                <w:rFonts w:ascii="Times New Roman" w:hAnsi="Times New Roman" w:cs="Times New Roman"/>
                <w:b/>
                <w:bCs/>
                <w:sz w:val="22"/>
                <w:szCs w:val="22"/>
              </w:rPr>
              <w:t>pkt 4</w:t>
            </w:r>
            <w:r w:rsidRPr="00AF619C">
              <w:rPr>
                <w:rFonts w:ascii="Times New Roman" w:hAnsi="Times New Roman" w:cs="Times New Roman"/>
                <w:b/>
                <w:bCs/>
                <w:sz w:val="22"/>
                <w:szCs w:val="22"/>
              </w:rPr>
              <w:t xml:space="preserve"> </w:t>
            </w:r>
          </w:p>
          <w:p w14:paraId="13B50D44" w14:textId="3B895289" w:rsidR="0075590A" w:rsidRPr="00AF619C" w:rsidRDefault="00AF619C" w:rsidP="00AF619C">
            <w:pPr>
              <w:ind w:right="34"/>
              <w:jc w:val="both"/>
              <w:rPr>
                <w:rFonts w:ascii="Times New Roman" w:hAnsi="Times New Roman" w:cs="Times New Roman"/>
              </w:rPr>
            </w:pPr>
            <w:r w:rsidRPr="00AF619C">
              <w:rPr>
                <w:rFonts w:ascii="Times New Roman" w:eastAsia="Calibri" w:hAnsi="Times New Roman" w:cs="Times New Roman"/>
                <w:bCs/>
                <w:color w:val="000000"/>
                <w:lang w:eastAsia="pl-PL"/>
              </w:rPr>
              <w:t xml:space="preserve">Zakwestionowano </w:t>
            </w:r>
            <w:r w:rsidR="0075590A" w:rsidRPr="0075590A">
              <w:rPr>
                <w:rFonts w:ascii="Times New Roman" w:eastAsia="Calibri" w:hAnsi="Times New Roman" w:cs="Times New Roman"/>
                <w:bCs/>
                <w:color w:val="000000"/>
                <w:lang w:eastAsia="pl-PL"/>
              </w:rPr>
              <w:t>prawidłowości i poprawności zdefiniowania pojęcia „</w:t>
            </w:r>
            <w:r w:rsidR="0075590A" w:rsidRPr="0075590A">
              <w:rPr>
                <w:rFonts w:ascii="Times New Roman" w:eastAsia="Calibri" w:hAnsi="Times New Roman" w:cs="Times New Roman"/>
                <w:bCs/>
                <w:i/>
                <w:iCs/>
                <w:color w:val="000000"/>
                <w:lang w:eastAsia="pl-PL"/>
              </w:rPr>
              <w:t>uwierzytelnienia</w:t>
            </w:r>
            <w:r w:rsidR="0075590A" w:rsidRPr="0075590A">
              <w:rPr>
                <w:rFonts w:ascii="Times New Roman" w:eastAsia="Calibri" w:hAnsi="Times New Roman" w:cs="Times New Roman"/>
                <w:bCs/>
                <w:color w:val="000000"/>
                <w:lang w:eastAsia="pl-PL"/>
              </w:rPr>
              <w:t>”, a w szczególności użytego w tej definicji wyrażenia „</w:t>
            </w:r>
            <w:r w:rsidR="0075590A" w:rsidRPr="0075590A">
              <w:rPr>
                <w:rFonts w:ascii="Times New Roman" w:eastAsia="Calibri" w:hAnsi="Times New Roman" w:cs="Times New Roman"/>
                <w:bCs/>
                <w:i/>
                <w:iCs/>
                <w:color w:val="000000"/>
                <w:lang w:eastAsia="pl-PL"/>
              </w:rPr>
              <w:t>proces elektroniczny</w:t>
            </w:r>
            <w:r w:rsidR="0075590A" w:rsidRPr="0075590A">
              <w:rPr>
                <w:rFonts w:ascii="Times New Roman" w:eastAsia="Calibri" w:hAnsi="Times New Roman" w:cs="Times New Roman"/>
                <w:bCs/>
                <w:color w:val="000000"/>
                <w:lang w:eastAsia="pl-PL"/>
              </w:rPr>
              <w:t xml:space="preserve">”. </w:t>
            </w:r>
          </w:p>
        </w:tc>
        <w:tc>
          <w:tcPr>
            <w:tcW w:w="4395" w:type="dxa"/>
          </w:tcPr>
          <w:p w14:paraId="47F8B5D2" w14:textId="294A0FF4" w:rsidR="0075590A" w:rsidRPr="0075590A" w:rsidRDefault="00AF619C" w:rsidP="00AF619C">
            <w:pPr>
              <w:ind w:left="11" w:right="34"/>
              <w:jc w:val="both"/>
              <w:rPr>
                <w:rFonts w:ascii="Times New Roman" w:eastAsia="Calibri" w:hAnsi="Times New Roman" w:cs="Calibri"/>
                <w:color w:val="000000"/>
                <w:lang w:eastAsia="pl-PL"/>
              </w:rPr>
            </w:pPr>
            <w:r>
              <w:rPr>
                <w:rFonts w:ascii="Times New Roman" w:eastAsia="Calibri" w:hAnsi="Times New Roman" w:cs="Calibri"/>
                <w:color w:val="000000"/>
                <w:lang w:eastAsia="pl-PL"/>
              </w:rPr>
              <w:t>W</w:t>
            </w:r>
            <w:r w:rsidR="0075590A" w:rsidRPr="0075590A">
              <w:rPr>
                <w:rFonts w:ascii="Times New Roman" w:eastAsia="Calibri" w:hAnsi="Times New Roman" w:cs="Calibri"/>
                <w:color w:val="000000"/>
                <w:lang w:eastAsia="pl-PL"/>
              </w:rPr>
              <w:t xml:space="preserve"> uzasadnieniu projektu podkreślone zostało, że przedmiotowe wyrażenie </w:t>
            </w:r>
            <w:r w:rsidR="0075590A" w:rsidRPr="0075590A">
              <w:rPr>
                <w:rFonts w:ascii="Times New Roman" w:eastAsia="Calibri" w:hAnsi="Times New Roman" w:cs="Times New Roman"/>
                <w:color w:val="000000"/>
                <w:lang w:eastAsia="pl-PL"/>
              </w:rPr>
              <w:t>nie powinno być postrzegane jako samodzielne pojęcie wymagające definiowania, a projekt posługuje się nim, zresztą w ślad za rozporządzeniem unijnym „</w:t>
            </w:r>
            <w:proofErr w:type="spellStart"/>
            <w:r w:rsidR="0075590A" w:rsidRPr="0075590A">
              <w:rPr>
                <w:rFonts w:ascii="Times New Roman" w:eastAsia="Calibri" w:hAnsi="Times New Roman" w:cs="Times New Roman"/>
                <w:color w:val="000000"/>
                <w:lang w:eastAsia="pl-PL"/>
              </w:rPr>
              <w:t>eIDAS</w:t>
            </w:r>
            <w:proofErr w:type="spellEnd"/>
            <w:r w:rsidR="0075590A" w:rsidRPr="0075590A">
              <w:rPr>
                <w:rFonts w:ascii="Times New Roman" w:eastAsia="Calibri" w:hAnsi="Times New Roman" w:cs="Times New Roman"/>
                <w:color w:val="000000"/>
                <w:lang w:eastAsia="pl-PL"/>
              </w:rPr>
              <w:t>”, dla oddania charakteru uwierzytelnienia jako ciągu czynności (procesu) w postaci elektronicznej (procesu elektronicznego) skutkujących uzyskaniem uprawnień do podejmowania określonych działań w systemie teleinformatycznym obsługującym postępowanie sądowe.</w:t>
            </w:r>
          </w:p>
          <w:p w14:paraId="23CAA293" w14:textId="77777777" w:rsidR="0075590A" w:rsidRPr="00AF619C" w:rsidRDefault="0075590A" w:rsidP="009B3704">
            <w:pPr>
              <w:jc w:val="both"/>
              <w:rPr>
                <w:rFonts w:ascii="Times New Roman" w:hAnsi="Times New Roman" w:cs="Times New Roman"/>
              </w:rPr>
            </w:pPr>
          </w:p>
        </w:tc>
      </w:tr>
      <w:tr w:rsidR="006B43A7" w:rsidRPr="00F95FBA" w14:paraId="0A745D5E" w14:textId="172FC4C4" w:rsidTr="006B43A7">
        <w:tc>
          <w:tcPr>
            <w:tcW w:w="522" w:type="dxa"/>
          </w:tcPr>
          <w:p w14:paraId="50129772" w14:textId="1E1322E9" w:rsidR="006B43A7" w:rsidRPr="00F95FBA" w:rsidRDefault="00071D64" w:rsidP="009B3704">
            <w:pPr>
              <w:jc w:val="both"/>
              <w:rPr>
                <w:rFonts w:ascii="Times New Roman" w:hAnsi="Times New Roman" w:cs="Times New Roman"/>
              </w:rPr>
            </w:pPr>
            <w:r>
              <w:rPr>
                <w:rFonts w:ascii="Times New Roman" w:hAnsi="Times New Roman" w:cs="Times New Roman"/>
              </w:rPr>
              <w:t>2.</w:t>
            </w:r>
          </w:p>
        </w:tc>
        <w:tc>
          <w:tcPr>
            <w:tcW w:w="1548" w:type="dxa"/>
          </w:tcPr>
          <w:p w14:paraId="7448E227" w14:textId="446F34A9" w:rsidR="006B43A7" w:rsidRPr="00F95FBA" w:rsidRDefault="006B43A7" w:rsidP="009B3704">
            <w:pPr>
              <w:jc w:val="both"/>
              <w:rPr>
                <w:rFonts w:ascii="Times New Roman" w:hAnsi="Times New Roman" w:cs="Times New Roman"/>
              </w:rPr>
            </w:pPr>
            <w:r w:rsidRPr="00F95FBA">
              <w:rPr>
                <w:rFonts w:ascii="Times New Roman" w:hAnsi="Times New Roman" w:cs="Times New Roman"/>
              </w:rPr>
              <w:t xml:space="preserve">SA Wrocław – Oddział Informatyczny </w:t>
            </w:r>
            <w:proofErr w:type="spellStart"/>
            <w:r w:rsidRPr="00F95FBA">
              <w:rPr>
                <w:rFonts w:ascii="Times New Roman" w:hAnsi="Times New Roman" w:cs="Times New Roman"/>
              </w:rPr>
              <w:t>CKiIS</w:t>
            </w:r>
            <w:proofErr w:type="spellEnd"/>
          </w:p>
        </w:tc>
        <w:tc>
          <w:tcPr>
            <w:tcW w:w="1747" w:type="dxa"/>
          </w:tcPr>
          <w:p w14:paraId="2B18E808" w14:textId="4E3535A9" w:rsidR="006B43A7" w:rsidRPr="00F95FBA" w:rsidRDefault="006B43A7" w:rsidP="009B3704">
            <w:pPr>
              <w:jc w:val="both"/>
              <w:rPr>
                <w:rFonts w:ascii="Times New Roman" w:hAnsi="Times New Roman" w:cs="Times New Roman"/>
              </w:rPr>
            </w:pPr>
            <w:r w:rsidRPr="00F95FBA">
              <w:rPr>
                <w:rFonts w:ascii="Times New Roman" w:hAnsi="Times New Roman" w:cs="Times New Roman"/>
              </w:rPr>
              <w:t xml:space="preserve">§ 1 pkt </w:t>
            </w:r>
            <w:r w:rsidR="0075590A">
              <w:rPr>
                <w:rFonts w:ascii="Times New Roman" w:hAnsi="Times New Roman" w:cs="Times New Roman"/>
              </w:rPr>
              <w:t>2</w:t>
            </w:r>
          </w:p>
        </w:tc>
        <w:tc>
          <w:tcPr>
            <w:tcW w:w="5250" w:type="dxa"/>
          </w:tcPr>
          <w:p w14:paraId="156C70E5" w14:textId="65AE739E" w:rsidR="006B43A7" w:rsidRPr="00F95FBA" w:rsidRDefault="0075590A" w:rsidP="009B3704">
            <w:pPr>
              <w:pStyle w:val="Default"/>
              <w:jc w:val="both"/>
              <w:rPr>
                <w:rFonts w:ascii="Times New Roman" w:hAnsi="Times New Roman" w:cs="Times New Roman"/>
                <w:sz w:val="22"/>
                <w:szCs w:val="22"/>
              </w:rPr>
            </w:pPr>
            <w:r>
              <w:rPr>
                <w:rFonts w:ascii="Times New Roman" w:hAnsi="Times New Roman" w:cs="Times New Roman"/>
                <w:b/>
                <w:bCs/>
                <w:sz w:val="22"/>
                <w:szCs w:val="22"/>
              </w:rPr>
              <w:t>d</w:t>
            </w:r>
            <w:r w:rsidR="006B43A7" w:rsidRPr="00F95FBA">
              <w:rPr>
                <w:rFonts w:ascii="Times New Roman" w:hAnsi="Times New Roman" w:cs="Times New Roman"/>
                <w:b/>
                <w:bCs/>
                <w:sz w:val="22"/>
                <w:szCs w:val="22"/>
              </w:rPr>
              <w:t xml:space="preserve">ot. § 1 pkt 2 – zmieniany § 2 ust. 2 </w:t>
            </w:r>
          </w:p>
          <w:p w14:paraId="7C33CA7D" w14:textId="77777777" w:rsidR="006B43A7" w:rsidRPr="00F95FBA" w:rsidRDefault="006B43A7" w:rsidP="009B3704">
            <w:pPr>
              <w:pStyle w:val="Default"/>
              <w:jc w:val="both"/>
              <w:rPr>
                <w:rFonts w:ascii="Times New Roman" w:hAnsi="Times New Roman" w:cs="Times New Roman"/>
                <w:sz w:val="22"/>
                <w:szCs w:val="22"/>
              </w:rPr>
            </w:pPr>
            <w:r w:rsidRPr="00F95FBA">
              <w:rPr>
                <w:rFonts w:ascii="Times New Roman" w:hAnsi="Times New Roman" w:cs="Times New Roman"/>
                <w:sz w:val="22"/>
                <w:szCs w:val="22"/>
              </w:rPr>
              <w:t xml:space="preserve">Zdanie jest niepoprawne stylistycznie. </w:t>
            </w:r>
          </w:p>
          <w:p w14:paraId="758A4A1A" w14:textId="6252FEF3" w:rsidR="006B43A7" w:rsidRPr="00F95FBA" w:rsidRDefault="006B43A7" w:rsidP="009B3704">
            <w:pPr>
              <w:jc w:val="both"/>
              <w:rPr>
                <w:rFonts w:ascii="Times New Roman" w:hAnsi="Times New Roman" w:cs="Times New Roman"/>
              </w:rPr>
            </w:pPr>
          </w:p>
        </w:tc>
        <w:tc>
          <w:tcPr>
            <w:tcW w:w="4395" w:type="dxa"/>
          </w:tcPr>
          <w:p w14:paraId="5698CC1B" w14:textId="77777777" w:rsidR="00077978" w:rsidRDefault="00077978" w:rsidP="009B3704">
            <w:pPr>
              <w:jc w:val="both"/>
              <w:rPr>
                <w:rFonts w:ascii="Times New Roman" w:hAnsi="Times New Roman" w:cs="Times New Roman"/>
              </w:rPr>
            </w:pPr>
            <w:r>
              <w:rPr>
                <w:rFonts w:ascii="Times New Roman" w:hAnsi="Times New Roman" w:cs="Times New Roman"/>
              </w:rPr>
              <w:t>N</w:t>
            </w:r>
            <w:r w:rsidR="0008789B" w:rsidRPr="00F95FBA">
              <w:rPr>
                <w:rFonts w:ascii="Times New Roman" w:hAnsi="Times New Roman" w:cs="Times New Roman"/>
              </w:rPr>
              <w:t>ie sprecyzowa</w:t>
            </w:r>
            <w:r>
              <w:rPr>
                <w:rFonts w:ascii="Times New Roman" w:hAnsi="Times New Roman" w:cs="Times New Roman"/>
              </w:rPr>
              <w:t>no uwagi, a redakcja przepisu, który dotyczy czynności automatycznej i technicznej systemu teleinformatycznego jest precyzyjna.</w:t>
            </w:r>
          </w:p>
          <w:p w14:paraId="5549C76C" w14:textId="4575DF88" w:rsidR="006B43A7" w:rsidRPr="00F95FBA" w:rsidRDefault="006B43A7" w:rsidP="0075590A">
            <w:pPr>
              <w:jc w:val="both"/>
              <w:rPr>
                <w:rFonts w:ascii="Times New Roman" w:hAnsi="Times New Roman" w:cs="Times New Roman"/>
              </w:rPr>
            </w:pPr>
          </w:p>
        </w:tc>
      </w:tr>
      <w:tr w:rsidR="006B43A7" w:rsidRPr="00F95FBA" w14:paraId="0CC1AF8A" w14:textId="7021A6E9" w:rsidTr="006B43A7">
        <w:tc>
          <w:tcPr>
            <w:tcW w:w="522" w:type="dxa"/>
          </w:tcPr>
          <w:p w14:paraId="6D897C15" w14:textId="2CB53A15" w:rsidR="006B43A7" w:rsidRPr="00F95FBA" w:rsidRDefault="00071D64" w:rsidP="009B3704">
            <w:pPr>
              <w:jc w:val="both"/>
              <w:rPr>
                <w:rFonts w:ascii="Times New Roman" w:hAnsi="Times New Roman" w:cs="Times New Roman"/>
              </w:rPr>
            </w:pPr>
            <w:r>
              <w:rPr>
                <w:rFonts w:ascii="Times New Roman" w:hAnsi="Times New Roman" w:cs="Times New Roman"/>
              </w:rPr>
              <w:t>3.</w:t>
            </w:r>
          </w:p>
        </w:tc>
        <w:tc>
          <w:tcPr>
            <w:tcW w:w="1548" w:type="dxa"/>
          </w:tcPr>
          <w:p w14:paraId="4E6A31FB" w14:textId="02D65A1B" w:rsidR="006B43A7" w:rsidRPr="00F95FBA" w:rsidRDefault="006B43A7" w:rsidP="009B3704">
            <w:pPr>
              <w:jc w:val="both"/>
              <w:rPr>
                <w:rFonts w:ascii="Times New Roman" w:hAnsi="Times New Roman" w:cs="Times New Roman"/>
              </w:rPr>
            </w:pPr>
            <w:r w:rsidRPr="00F95FBA">
              <w:rPr>
                <w:rFonts w:ascii="Times New Roman" w:hAnsi="Times New Roman" w:cs="Times New Roman"/>
              </w:rPr>
              <w:t xml:space="preserve">SA Wrocław – Oddział Informatyczny </w:t>
            </w:r>
            <w:proofErr w:type="spellStart"/>
            <w:r w:rsidRPr="00F95FBA">
              <w:rPr>
                <w:rFonts w:ascii="Times New Roman" w:hAnsi="Times New Roman" w:cs="Times New Roman"/>
              </w:rPr>
              <w:t>CKiIS</w:t>
            </w:r>
            <w:proofErr w:type="spellEnd"/>
          </w:p>
        </w:tc>
        <w:tc>
          <w:tcPr>
            <w:tcW w:w="1747" w:type="dxa"/>
          </w:tcPr>
          <w:p w14:paraId="5B0C49DE" w14:textId="257C23DF" w:rsidR="006B43A7" w:rsidRPr="00F95FBA" w:rsidRDefault="006B43A7" w:rsidP="009B3704">
            <w:pPr>
              <w:jc w:val="both"/>
              <w:rPr>
                <w:rFonts w:ascii="Times New Roman" w:hAnsi="Times New Roman" w:cs="Times New Roman"/>
              </w:rPr>
            </w:pPr>
            <w:r w:rsidRPr="00F95FBA">
              <w:rPr>
                <w:rFonts w:ascii="Times New Roman" w:hAnsi="Times New Roman" w:cs="Times New Roman"/>
              </w:rPr>
              <w:t>§ 1 pkt 4 – dodany § 5a</w:t>
            </w:r>
          </w:p>
        </w:tc>
        <w:tc>
          <w:tcPr>
            <w:tcW w:w="5250" w:type="dxa"/>
          </w:tcPr>
          <w:p w14:paraId="744B6F7C" w14:textId="35352228" w:rsidR="006B43A7" w:rsidRPr="00F95FBA" w:rsidRDefault="00077978" w:rsidP="009B3704">
            <w:pPr>
              <w:pStyle w:val="Default"/>
              <w:jc w:val="both"/>
              <w:rPr>
                <w:rFonts w:ascii="Times New Roman" w:hAnsi="Times New Roman" w:cs="Times New Roman"/>
                <w:sz w:val="22"/>
                <w:szCs w:val="22"/>
              </w:rPr>
            </w:pPr>
            <w:r>
              <w:rPr>
                <w:rFonts w:ascii="Times New Roman" w:hAnsi="Times New Roman" w:cs="Times New Roman"/>
                <w:b/>
                <w:bCs/>
                <w:sz w:val="22"/>
                <w:szCs w:val="22"/>
              </w:rPr>
              <w:t>d</w:t>
            </w:r>
            <w:r w:rsidR="006B43A7" w:rsidRPr="00F95FBA">
              <w:rPr>
                <w:rFonts w:ascii="Times New Roman" w:hAnsi="Times New Roman" w:cs="Times New Roman"/>
                <w:b/>
                <w:bCs/>
                <w:sz w:val="22"/>
                <w:szCs w:val="22"/>
              </w:rPr>
              <w:t xml:space="preserve">ot. § 1 pkt 4 – dodany § 5a </w:t>
            </w:r>
          </w:p>
          <w:p w14:paraId="017AA1C5" w14:textId="0D00D24D" w:rsidR="006B43A7" w:rsidRPr="00F95FBA" w:rsidRDefault="006B43A7" w:rsidP="009B3704">
            <w:pPr>
              <w:jc w:val="both"/>
              <w:rPr>
                <w:rFonts w:ascii="Times New Roman" w:hAnsi="Times New Roman" w:cs="Times New Roman"/>
              </w:rPr>
            </w:pPr>
            <w:r w:rsidRPr="00F95FBA">
              <w:rPr>
                <w:rFonts w:ascii="Times New Roman" w:hAnsi="Times New Roman" w:cs="Times New Roman"/>
              </w:rPr>
              <w:t xml:space="preserve">Należy usunąć z ust. 1 pkt 5 sformułowanie „przez użytkownika przygotowującego pismo”. W wielu systemach teleinformatycznych pojawiają się funkcjonalności kont zależnych obsługiwanych przez </w:t>
            </w:r>
            <w:r w:rsidRPr="00F95FBA">
              <w:rPr>
                <w:rFonts w:ascii="Times New Roman" w:hAnsi="Times New Roman" w:cs="Times New Roman"/>
              </w:rPr>
              <w:lastRenderedPageBreak/>
              <w:t>pracowników, którzy przygotowują projekty dokumentacji zatwierdzanej następnie przez osobę uprawnioną. Taki zapis ogranicza możliwość zbudowania i wdrożenia takiej funkcjonalności.</w:t>
            </w:r>
          </w:p>
        </w:tc>
        <w:tc>
          <w:tcPr>
            <w:tcW w:w="4395" w:type="dxa"/>
          </w:tcPr>
          <w:p w14:paraId="18AD8807" w14:textId="538C81AF" w:rsidR="00077978" w:rsidRPr="00077978" w:rsidRDefault="00077978" w:rsidP="00077978">
            <w:pPr>
              <w:ind w:left="11" w:right="34"/>
              <w:jc w:val="both"/>
              <w:rPr>
                <w:rFonts w:ascii="Times New Roman" w:eastAsia="Calibri" w:hAnsi="Times New Roman" w:cs="Calibri"/>
                <w:color w:val="000000"/>
                <w:lang w:eastAsia="pl-PL"/>
              </w:rPr>
            </w:pPr>
            <w:r w:rsidRPr="00077978">
              <w:rPr>
                <w:rFonts w:ascii="Times New Roman" w:eastAsia="Calibri" w:hAnsi="Times New Roman" w:cs="Times New Roman"/>
                <w:color w:val="000000"/>
                <w:lang w:eastAsia="pl-PL"/>
              </w:rPr>
              <w:lastRenderedPageBreak/>
              <w:t>W</w:t>
            </w:r>
            <w:r w:rsidRPr="00077978">
              <w:rPr>
                <w:rFonts w:ascii="Times New Roman" w:eastAsia="Calibri" w:hAnsi="Times New Roman" w:cs="Times New Roman"/>
                <w:color w:val="000000"/>
                <w:lang w:eastAsia="pl-PL"/>
              </w:rPr>
              <w:t xml:space="preserve"> elektronicznym postępowaniu rejestrowym uregulowanym w tym przepisie pismo do sądu będzie mógł wysłać tylko użytkownik przygotowujący pismo. Dla systemu teleinformatycznego obsługującego </w:t>
            </w:r>
            <w:r w:rsidRPr="00077978">
              <w:rPr>
                <w:rFonts w:ascii="Times New Roman" w:eastAsia="Calibri" w:hAnsi="Times New Roman" w:cs="Times New Roman"/>
                <w:color w:val="000000"/>
                <w:lang w:eastAsia="pl-PL"/>
              </w:rPr>
              <w:lastRenderedPageBreak/>
              <w:t>postępowanie sądowe osobą wysyłającą pismo do sądu zawsze będzie użytkownik konta, chociażby fizycznie czy faktycznie kto inny, niż posiadacz konta, przygotowywał dane pismo. Inną rzeczą jest to, kto podpisze dane pismo, lecz to będzie już analizował i oceniał sąd rozpoznający daną sprawę.</w:t>
            </w:r>
          </w:p>
          <w:p w14:paraId="589CA70E" w14:textId="32FE5DB5" w:rsidR="00364ACD" w:rsidRPr="00F95FBA" w:rsidRDefault="00364ACD" w:rsidP="00077978">
            <w:pPr>
              <w:jc w:val="both"/>
              <w:rPr>
                <w:rFonts w:ascii="Times New Roman" w:hAnsi="Times New Roman" w:cs="Times New Roman"/>
              </w:rPr>
            </w:pPr>
          </w:p>
        </w:tc>
      </w:tr>
      <w:tr w:rsidR="006B43A7" w:rsidRPr="00F95FBA" w14:paraId="2421BD5D" w14:textId="4F61594E" w:rsidTr="006B43A7">
        <w:tc>
          <w:tcPr>
            <w:tcW w:w="522" w:type="dxa"/>
          </w:tcPr>
          <w:p w14:paraId="3D0D7D89" w14:textId="21A2D8CF" w:rsidR="006B43A7" w:rsidRPr="00F95FBA" w:rsidRDefault="00071D64" w:rsidP="009B3704">
            <w:pPr>
              <w:jc w:val="both"/>
              <w:rPr>
                <w:rFonts w:ascii="Times New Roman" w:hAnsi="Times New Roman" w:cs="Times New Roman"/>
              </w:rPr>
            </w:pPr>
            <w:r>
              <w:rPr>
                <w:rFonts w:ascii="Times New Roman" w:hAnsi="Times New Roman" w:cs="Times New Roman"/>
              </w:rPr>
              <w:lastRenderedPageBreak/>
              <w:t>4.</w:t>
            </w:r>
          </w:p>
        </w:tc>
        <w:tc>
          <w:tcPr>
            <w:tcW w:w="1548" w:type="dxa"/>
          </w:tcPr>
          <w:p w14:paraId="4995D027" w14:textId="4E551369" w:rsidR="006B43A7" w:rsidRPr="00F95FBA" w:rsidRDefault="006B43A7" w:rsidP="009B3704">
            <w:pPr>
              <w:jc w:val="both"/>
              <w:rPr>
                <w:rFonts w:ascii="Times New Roman" w:hAnsi="Times New Roman" w:cs="Times New Roman"/>
              </w:rPr>
            </w:pPr>
            <w:r w:rsidRPr="00F95FBA">
              <w:rPr>
                <w:rFonts w:ascii="Times New Roman" w:hAnsi="Times New Roman" w:cs="Times New Roman"/>
              </w:rPr>
              <w:t>Prezes UODO</w:t>
            </w:r>
          </w:p>
        </w:tc>
        <w:tc>
          <w:tcPr>
            <w:tcW w:w="1747" w:type="dxa"/>
          </w:tcPr>
          <w:p w14:paraId="135F4AC7" w14:textId="63AC17B9" w:rsidR="006B43A7" w:rsidRPr="00F95FBA" w:rsidRDefault="006B43A7" w:rsidP="009B3704">
            <w:pPr>
              <w:jc w:val="both"/>
              <w:rPr>
                <w:rFonts w:ascii="Times New Roman" w:hAnsi="Times New Roman" w:cs="Times New Roman"/>
              </w:rPr>
            </w:pPr>
            <w:r w:rsidRPr="00F95FBA">
              <w:rPr>
                <w:rFonts w:ascii="Times New Roman" w:hAnsi="Times New Roman" w:cs="Times New Roman"/>
              </w:rPr>
              <w:t>§ 1</w:t>
            </w:r>
          </w:p>
        </w:tc>
        <w:tc>
          <w:tcPr>
            <w:tcW w:w="5250" w:type="dxa"/>
          </w:tcPr>
          <w:p w14:paraId="4366D3CA" w14:textId="7173E10C" w:rsidR="006B43A7" w:rsidRPr="00C60C3D" w:rsidRDefault="00F67403" w:rsidP="009B3704">
            <w:pPr>
              <w:autoSpaceDE w:val="0"/>
              <w:autoSpaceDN w:val="0"/>
              <w:adjustRightInd w:val="0"/>
              <w:jc w:val="both"/>
              <w:rPr>
                <w:rFonts w:ascii="Times New Roman" w:hAnsi="Times New Roman" w:cs="Times New Roman"/>
              </w:rPr>
            </w:pPr>
            <w:r>
              <w:rPr>
                <w:rFonts w:ascii="Times New Roman" w:hAnsi="Times New Roman" w:cs="Times New Roman"/>
              </w:rPr>
              <w:t>S</w:t>
            </w:r>
            <w:r w:rsidR="006B43A7" w:rsidRPr="00C60C3D">
              <w:rPr>
                <w:rFonts w:ascii="Times New Roman" w:hAnsi="Times New Roman" w:cs="Times New Roman"/>
              </w:rPr>
              <w:t>ystem teleinformatyczny obsługujący postępowanie sądowe, o którym mowa w § 1 projektu rozporządzenia powinien spełniać minimalne wymagania określone w rozdziale trzecim ustawy z 17 lutego 2005 r. o informatyzacji działalności podmiotów realizujących zadania publiczne (Dz.U. z 2021 r., poz.670).</w:t>
            </w:r>
          </w:p>
          <w:p w14:paraId="2E0282E9" w14:textId="77777777" w:rsidR="000A0463" w:rsidRPr="00F95FBA" w:rsidRDefault="000A0463" w:rsidP="009B3704">
            <w:pPr>
              <w:autoSpaceDE w:val="0"/>
              <w:autoSpaceDN w:val="0"/>
              <w:adjustRightInd w:val="0"/>
              <w:jc w:val="both"/>
              <w:rPr>
                <w:rFonts w:ascii="Times New Roman" w:hAnsi="Times New Roman" w:cs="Times New Roman"/>
              </w:rPr>
            </w:pPr>
          </w:p>
          <w:p w14:paraId="7661E639" w14:textId="77777777" w:rsidR="00F67403" w:rsidRDefault="00F67403" w:rsidP="009B3704">
            <w:pPr>
              <w:autoSpaceDE w:val="0"/>
              <w:autoSpaceDN w:val="0"/>
              <w:adjustRightInd w:val="0"/>
              <w:jc w:val="both"/>
              <w:rPr>
                <w:rFonts w:ascii="Times New Roman" w:hAnsi="Times New Roman" w:cs="Times New Roman"/>
              </w:rPr>
            </w:pPr>
          </w:p>
          <w:p w14:paraId="4359ABEE" w14:textId="25E2519E" w:rsidR="006B43A7" w:rsidRPr="00F95FBA" w:rsidRDefault="00F67403" w:rsidP="009B3704">
            <w:pPr>
              <w:autoSpaceDE w:val="0"/>
              <w:autoSpaceDN w:val="0"/>
              <w:adjustRightInd w:val="0"/>
              <w:jc w:val="both"/>
              <w:rPr>
                <w:rFonts w:ascii="Times New Roman" w:hAnsi="Times New Roman" w:cs="Times New Roman"/>
              </w:rPr>
            </w:pPr>
            <w:r>
              <w:rPr>
                <w:rFonts w:ascii="Times New Roman" w:hAnsi="Times New Roman" w:cs="Times New Roman"/>
              </w:rPr>
              <w:t>S</w:t>
            </w:r>
            <w:r w:rsidR="006B43A7" w:rsidRPr="00F95FBA">
              <w:rPr>
                <w:rFonts w:ascii="Times New Roman" w:hAnsi="Times New Roman" w:cs="Times New Roman"/>
              </w:rPr>
              <w:t>ystem oprócz zapewnienia poufności, dostępności i integralności informacji, powinien uwzględniać również niezaprzeczalność danych identyfikacyjnych i uwierzytelniających użytkownika, co należy rozumieć jako brak możliwości zanegowania swego uczestnictwa</w:t>
            </w:r>
          </w:p>
          <w:p w14:paraId="33987815" w14:textId="7D2CF095" w:rsidR="006B43A7" w:rsidRPr="00F95FBA" w:rsidRDefault="006B43A7" w:rsidP="009B3704">
            <w:pPr>
              <w:autoSpaceDE w:val="0"/>
              <w:autoSpaceDN w:val="0"/>
              <w:adjustRightInd w:val="0"/>
              <w:jc w:val="both"/>
              <w:rPr>
                <w:rFonts w:ascii="Times New Roman" w:hAnsi="Times New Roman" w:cs="Times New Roman"/>
              </w:rPr>
            </w:pPr>
            <w:r w:rsidRPr="00F95FBA">
              <w:rPr>
                <w:rFonts w:ascii="Times New Roman" w:hAnsi="Times New Roman" w:cs="Times New Roman"/>
              </w:rPr>
              <w:t>w całości lub w części wymiany danych przez jeden z podmiotów uczestniczących w tej wymianie. Jest to istotne, biorąc pod uwagę fakt, że wniosek można złożyć z konta w systemie teleinformatycznym nie będąc użytkownikiem, czyli posiadaczem konta.</w:t>
            </w:r>
          </w:p>
          <w:p w14:paraId="49C46944" w14:textId="77777777" w:rsidR="006B43A7" w:rsidRPr="00F95FBA" w:rsidRDefault="006B43A7" w:rsidP="009B3704">
            <w:pPr>
              <w:autoSpaceDE w:val="0"/>
              <w:autoSpaceDN w:val="0"/>
              <w:adjustRightInd w:val="0"/>
              <w:jc w:val="both"/>
              <w:rPr>
                <w:rFonts w:ascii="Times New Roman" w:hAnsi="Times New Roman" w:cs="Times New Roman"/>
              </w:rPr>
            </w:pPr>
          </w:p>
        </w:tc>
        <w:tc>
          <w:tcPr>
            <w:tcW w:w="4395" w:type="dxa"/>
          </w:tcPr>
          <w:p w14:paraId="08EB7F16" w14:textId="2CC1F326" w:rsidR="006B43A7" w:rsidRPr="00F95FBA" w:rsidRDefault="000A0463" w:rsidP="009B3704">
            <w:pPr>
              <w:jc w:val="both"/>
              <w:rPr>
                <w:rFonts w:ascii="Times New Roman" w:hAnsi="Times New Roman" w:cs="Times New Roman"/>
              </w:rPr>
            </w:pPr>
            <w:r w:rsidRPr="00F95FBA">
              <w:rPr>
                <w:rFonts w:ascii="Times New Roman" w:hAnsi="Times New Roman" w:cs="Times New Roman"/>
              </w:rPr>
              <w:t xml:space="preserve">System teleinformatyczny obsługujący postępowanie sądowe </w:t>
            </w:r>
            <w:r w:rsidRPr="00C60C3D">
              <w:rPr>
                <w:rFonts w:ascii="Times New Roman" w:hAnsi="Times New Roman" w:cs="Times New Roman"/>
              </w:rPr>
              <w:t>spełnia</w:t>
            </w:r>
            <w:r w:rsidRPr="00F95FBA">
              <w:rPr>
                <w:rFonts w:ascii="Times New Roman" w:hAnsi="Times New Roman" w:cs="Times New Roman"/>
              </w:rPr>
              <w:t xml:space="preserve"> przedmiotowe wymagania określone w rozdziale trzecim ustawy z 17 lutego 2005 r. o informatyzacji działalności podmiotów realizujących zadania publiczne, a </w:t>
            </w:r>
            <w:proofErr w:type="spellStart"/>
            <w:r w:rsidR="00C60C3D">
              <w:rPr>
                <w:rFonts w:ascii="Times New Roman" w:hAnsi="Times New Roman" w:cs="Times New Roman"/>
              </w:rPr>
              <w:t>opiniujacy</w:t>
            </w:r>
            <w:proofErr w:type="spellEnd"/>
            <w:r w:rsidRPr="00F95FBA">
              <w:rPr>
                <w:rFonts w:ascii="Times New Roman" w:hAnsi="Times New Roman" w:cs="Times New Roman"/>
              </w:rPr>
              <w:t xml:space="preserve"> nie wskazał, których wymagań system ten nie spełnia.</w:t>
            </w:r>
          </w:p>
          <w:p w14:paraId="6FD6973A" w14:textId="77777777" w:rsidR="000A0463" w:rsidRPr="00F95FBA" w:rsidRDefault="000A0463" w:rsidP="009B3704">
            <w:pPr>
              <w:jc w:val="both"/>
              <w:rPr>
                <w:rFonts w:ascii="Times New Roman" w:hAnsi="Times New Roman" w:cs="Times New Roman"/>
              </w:rPr>
            </w:pPr>
          </w:p>
          <w:p w14:paraId="616270A7" w14:textId="5ECF3ABE" w:rsidR="000A0463" w:rsidRPr="00F95FBA" w:rsidRDefault="000A0463" w:rsidP="009B3704">
            <w:pPr>
              <w:jc w:val="both"/>
              <w:rPr>
                <w:rFonts w:ascii="Times New Roman" w:hAnsi="Times New Roman" w:cs="Times New Roman"/>
              </w:rPr>
            </w:pPr>
            <w:r w:rsidRPr="00F95FBA">
              <w:rPr>
                <w:rFonts w:ascii="Times New Roman" w:hAnsi="Times New Roman" w:cs="Times New Roman"/>
              </w:rPr>
              <w:t xml:space="preserve">Zarówno w przypadku zbieżności użytkownika konta z osobą faktycznie wnoszącą pismo procesowe za pośrednictwem konta, jak też w </w:t>
            </w:r>
            <w:r w:rsidR="00EC5146" w:rsidRPr="00F95FBA">
              <w:rPr>
                <w:rFonts w:ascii="Times New Roman" w:hAnsi="Times New Roman" w:cs="Times New Roman"/>
              </w:rPr>
              <w:t>przypadku rozbieżności w tym zakresie (kto inny jest użytkownikiem konta, a kto inny wnosi pismo z konta danego użytkownika) nie ma możliwości zanegowania uczestnictwa w całości lub części wymiany danych. Konto służy jedynie jako kanał komunikacji pomiędzy uczestnikiem a sądem, natomiast wszystko co z konta jest wysyłane do sądu, opatrzone jest już podpisami elektronicznymi konkretnych osób, co podlega ocenie sądu i czego nie da się zanegować.</w:t>
            </w:r>
          </w:p>
          <w:p w14:paraId="4F0D7499" w14:textId="02595740" w:rsidR="00EC5146" w:rsidRPr="00F95FBA" w:rsidRDefault="00EC5146" w:rsidP="009B3704">
            <w:pPr>
              <w:jc w:val="both"/>
              <w:rPr>
                <w:rFonts w:ascii="Times New Roman" w:hAnsi="Times New Roman" w:cs="Times New Roman"/>
              </w:rPr>
            </w:pPr>
            <w:r w:rsidRPr="00F95FBA">
              <w:rPr>
                <w:rFonts w:ascii="Times New Roman" w:hAnsi="Times New Roman" w:cs="Times New Roman"/>
              </w:rPr>
              <w:t xml:space="preserve">Dane </w:t>
            </w:r>
            <w:r w:rsidR="00E81BA6" w:rsidRPr="00F95FBA">
              <w:rPr>
                <w:rFonts w:ascii="Times New Roman" w:hAnsi="Times New Roman" w:cs="Times New Roman"/>
              </w:rPr>
              <w:t xml:space="preserve">samego </w:t>
            </w:r>
            <w:r w:rsidRPr="00F95FBA">
              <w:rPr>
                <w:rFonts w:ascii="Times New Roman" w:hAnsi="Times New Roman" w:cs="Times New Roman"/>
              </w:rPr>
              <w:t>użytkownika konta są zawarte w</w:t>
            </w:r>
            <w:r w:rsidR="00E81BA6" w:rsidRPr="00F95FBA">
              <w:rPr>
                <w:rFonts w:ascii="Times New Roman" w:hAnsi="Times New Roman" w:cs="Times New Roman"/>
              </w:rPr>
              <w:t>śród</w:t>
            </w:r>
            <w:r w:rsidRPr="00F95FBA">
              <w:rPr>
                <w:rFonts w:ascii="Times New Roman" w:hAnsi="Times New Roman" w:cs="Times New Roman"/>
              </w:rPr>
              <w:t xml:space="preserve"> danych przypisanych do tego konta (choćby nie on wnosił pismo/podpisywał je), </w:t>
            </w:r>
            <w:r w:rsidR="00E81BA6" w:rsidRPr="00F95FBA">
              <w:rPr>
                <w:rFonts w:ascii="Times New Roman" w:hAnsi="Times New Roman" w:cs="Times New Roman"/>
              </w:rPr>
              <w:t>natomiast</w:t>
            </w:r>
            <w:r w:rsidRPr="00F95FBA">
              <w:rPr>
                <w:rFonts w:ascii="Times New Roman" w:hAnsi="Times New Roman" w:cs="Times New Roman"/>
              </w:rPr>
              <w:t xml:space="preserve"> dane osoby podpisującej poszczególne pisma zawarte są w podpisie </w:t>
            </w:r>
            <w:r w:rsidRPr="00F95FBA">
              <w:rPr>
                <w:rFonts w:ascii="Times New Roman" w:hAnsi="Times New Roman" w:cs="Times New Roman"/>
              </w:rPr>
              <w:lastRenderedPageBreak/>
              <w:t>elektronicznym.</w:t>
            </w:r>
            <w:r w:rsidR="00E81BA6" w:rsidRPr="00F95FBA">
              <w:rPr>
                <w:rFonts w:ascii="Times New Roman" w:hAnsi="Times New Roman" w:cs="Times New Roman"/>
              </w:rPr>
              <w:t xml:space="preserve"> Nie ma obaw w zakresie możliwości negowania uczestnictwa przez którykolwiek z podmiotów. Finalnie decyduje i tak to, kto podpisał dane pismo, a nie z czyjego konta pismo zostało do sądu wniesione.</w:t>
            </w:r>
          </w:p>
          <w:p w14:paraId="0F073FA8" w14:textId="78DD6B18" w:rsidR="000A0463" w:rsidRPr="00F95FBA" w:rsidRDefault="000A0463" w:rsidP="009B3704">
            <w:pPr>
              <w:jc w:val="both"/>
              <w:rPr>
                <w:rFonts w:ascii="Times New Roman" w:hAnsi="Times New Roman" w:cs="Times New Roman"/>
              </w:rPr>
            </w:pPr>
          </w:p>
        </w:tc>
      </w:tr>
      <w:tr w:rsidR="006B43A7" w:rsidRPr="00112BFB" w14:paraId="1B120F20" w14:textId="2F41C2AB" w:rsidTr="006B43A7">
        <w:tc>
          <w:tcPr>
            <w:tcW w:w="522" w:type="dxa"/>
          </w:tcPr>
          <w:p w14:paraId="5FDD3346" w14:textId="134E2EBC" w:rsidR="006B43A7" w:rsidRPr="00F95FBA" w:rsidRDefault="00071D64" w:rsidP="009B3704">
            <w:pPr>
              <w:jc w:val="both"/>
              <w:rPr>
                <w:rFonts w:ascii="Times New Roman" w:hAnsi="Times New Roman" w:cs="Times New Roman"/>
              </w:rPr>
            </w:pPr>
            <w:r>
              <w:rPr>
                <w:rFonts w:ascii="Times New Roman" w:hAnsi="Times New Roman" w:cs="Times New Roman"/>
              </w:rPr>
              <w:lastRenderedPageBreak/>
              <w:t>5</w:t>
            </w:r>
            <w:r w:rsidR="006B43A7" w:rsidRPr="00F95FBA">
              <w:rPr>
                <w:rFonts w:ascii="Times New Roman" w:hAnsi="Times New Roman" w:cs="Times New Roman"/>
              </w:rPr>
              <w:t>.</w:t>
            </w:r>
          </w:p>
        </w:tc>
        <w:tc>
          <w:tcPr>
            <w:tcW w:w="1548" w:type="dxa"/>
          </w:tcPr>
          <w:p w14:paraId="4404F160" w14:textId="38FF28C9" w:rsidR="006B43A7" w:rsidRPr="00F95FBA" w:rsidRDefault="006B43A7" w:rsidP="009B3704">
            <w:pPr>
              <w:jc w:val="both"/>
              <w:rPr>
                <w:rFonts w:ascii="Times New Roman" w:hAnsi="Times New Roman" w:cs="Times New Roman"/>
              </w:rPr>
            </w:pPr>
            <w:r w:rsidRPr="00F95FBA">
              <w:rPr>
                <w:rFonts w:ascii="Times New Roman" w:hAnsi="Times New Roman" w:cs="Times New Roman"/>
              </w:rPr>
              <w:t>Prezes UODO</w:t>
            </w:r>
          </w:p>
        </w:tc>
        <w:tc>
          <w:tcPr>
            <w:tcW w:w="1747" w:type="dxa"/>
          </w:tcPr>
          <w:p w14:paraId="0CACCDC3" w14:textId="03CAC4D0" w:rsidR="006B43A7" w:rsidRPr="00F95FBA" w:rsidRDefault="006B43A7" w:rsidP="009B3704">
            <w:pPr>
              <w:jc w:val="both"/>
              <w:rPr>
                <w:rFonts w:ascii="Times New Roman" w:hAnsi="Times New Roman" w:cs="Times New Roman"/>
              </w:rPr>
            </w:pPr>
            <w:r w:rsidRPr="00F95FBA">
              <w:rPr>
                <w:rFonts w:ascii="Times New Roman" w:hAnsi="Times New Roman" w:cs="Times New Roman"/>
              </w:rPr>
              <w:t>§ 5b ust. 2</w:t>
            </w:r>
          </w:p>
        </w:tc>
        <w:tc>
          <w:tcPr>
            <w:tcW w:w="5250" w:type="dxa"/>
          </w:tcPr>
          <w:p w14:paraId="3E43701C" w14:textId="7029E00A" w:rsidR="00112BFB" w:rsidRDefault="00F67403" w:rsidP="009B3704">
            <w:pPr>
              <w:autoSpaceDE w:val="0"/>
              <w:autoSpaceDN w:val="0"/>
              <w:adjustRightInd w:val="0"/>
              <w:jc w:val="both"/>
              <w:rPr>
                <w:rFonts w:ascii="Times New Roman" w:hAnsi="Times New Roman" w:cs="Times New Roman"/>
              </w:rPr>
            </w:pPr>
            <w:r>
              <w:rPr>
                <w:rFonts w:ascii="Times New Roman" w:hAnsi="Times New Roman" w:cs="Times New Roman"/>
              </w:rPr>
              <w:t>N</w:t>
            </w:r>
            <w:r w:rsidR="006B43A7" w:rsidRPr="00F95FBA">
              <w:rPr>
                <w:rFonts w:ascii="Times New Roman" w:hAnsi="Times New Roman" w:cs="Times New Roman"/>
              </w:rPr>
              <w:t xml:space="preserve">ormy prawne nakładające obowiązek udostępniania danych osobowych innych osób niż osoby składające wniosek powinny znajdować się w przepisach rangi ustawowej a nie wykonawczej – to przepisy ustawy mogą nakładać tego rodzaju obowiązki. </w:t>
            </w:r>
          </w:p>
          <w:p w14:paraId="1184D93F" w14:textId="77777777" w:rsidR="00112BFB" w:rsidRDefault="00112BFB" w:rsidP="009B3704">
            <w:pPr>
              <w:autoSpaceDE w:val="0"/>
              <w:autoSpaceDN w:val="0"/>
              <w:adjustRightInd w:val="0"/>
              <w:jc w:val="both"/>
              <w:rPr>
                <w:rFonts w:ascii="Times New Roman" w:hAnsi="Times New Roman" w:cs="Times New Roman"/>
              </w:rPr>
            </w:pPr>
          </w:p>
          <w:p w14:paraId="44656B63" w14:textId="3546975F" w:rsidR="006B43A7" w:rsidRPr="00F95FBA" w:rsidRDefault="00112BFB" w:rsidP="009B3704">
            <w:pPr>
              <w:autoSpaceDE w:val="0"/>
              <w:autoSpaceDN w:val="0"/>
              <w:adjustRightInd w:val="0"/>
              <w:jc w:val="both"/>
              <w:rPr>
                <w:rFonts w:ascii="Times New Roman" w:hAnsi="Times New Roman" w:cs="Times New Roman"/>
              </w:rPr>
            </w:pPr>
            <w:r>
              <w:rPr>
                <w:rFonts w:ascii="Times New Roman" w:hAnsi="Times New Roman" w:cs="Times New Roman"/>
              </w:rPr>
              <w:t>P</w:t>
            </w:r>
            <w:r w:rsidR="006B43A7" w:rsidRPr="00F95FBA">
              <w:rPr>
                <w:rFonts w:ascii="Times New Roman" w:hAnsi="Times New Roman" w:cs="Times New Roman"/>
              </w:rPr>
              <w:t>r</w:t>
            </w:r>
            <w:r>
              <w:rPr>
                <w:rFonts w:ascii="Times New Roman" w:hAnsi="Times New Roman" w:cs="Times New Roman"/>
              </w:rPr>
              <w:t>ojektowane przepisy</w:t>
            </w:r>
            <w:r w:rsidR="006B43A7" w:rsidRPr="00F95FBA">
              <w:rPr>
                <w:rFonts w:ascii="Times New Roman" w:hAnsi="Times New Roman" w:cs="Times New Roman"/>
              </w:rPr>
              <w:t xml:space="preserve"> nie precyzuje jakie konkretnie dane osobowe innych osób ma wskazać osoba składająca wniosek o wpis do Krajowego Rejestru Sądowego spółki. Zgodnie zaś z zasadą minimalizacji danych osobowych określoną w art. 5 ust. 1 lit. c) rozporządzenia 2016/679 dane osobowe muszą być adekwatne, stosowne oraz ograniczone do tego, co niezbędne do celów, w których są przetwarzane. Dlatego w przepisie tym wskazać należy, jakie konkretnie dane osobowe innych osób mają być określane przez składających wnioski.</w:t>
            </w:r>
          </w:p>
          <w:p w14:paraId="5024C19F" w14:textId="77777777" w:rsidR="006B43A7" w:rsidRPr="00F95FBA" w:rsidRDefault="006B43A7" w:rsidP="009B3704">
            <w:pPr>
              <w:autoSpaceDE w:val="0"/>
              <w:autoSpaceDN w:val="0"/>
              <w:adjustRightInd w:val="0"/>
              <w:jc w:val="both"/>
              <w:rPr>
                <w:rFonts w:ascii="Times New Roman" w:hAnsi="Times New Roman" w:cs="Times New Roman"/>
              </w:rPr>
            </w:pPr>
          </w:p>
          <w:p w14:paraId="03AE8D6F" w14:textId="4BBF6B89" w:rsidR="006B43A7" w:rsidRPr="00F95FBA" w:rsidRDefault="006B43A7" w:rsidP="009B3704">
            <w:pPr>
              <w:autoSpaceDE w:val="0"/>
              <w:autoSpaceDN w:val="0"/>
              <w:adjustRightInd w:val="0"/>
              <w:jc w:val="both"/>
              <w:rPr>
                <w:rFonts w:ascii="Times New Roman" w:hAnsi="Times New Roman" w:cs="Times New Roman"/>
              </w:rPr>
            </w:pPr>
            <w:r w:rsidRPr="00F95FBA">
              <w:rPr>
                <w:rFonts w:ascii="Times New Roman" w:hAnsi="Times New Roman" w:cs="Times New Roman"/>
              </w:rPr>
              <w:t>Zgodnie z przepisami rozporządzenia 2016/679 dane osobowe powinny być przetwarzane zgodnie z zasadami: zgodności z prawem, rzetelności i przejrzystości; ograniczenia celu; minimalizacji danych i ograniczenia przechowywania. Przepisy prawa regulujące problematykę przetwarzania danych osobowych powinny zaś być kształtowane w sposób zapewniający zachowanie powyższych zasad, by nie prowadziły w konsekwencji do pozyskiwania i dalszego przetwarzania nadmiarowych danych osobowych.</w:t>
            </w:r>
          </w:p>
          <w:p w14:paraId="5C5E7C2B" w14:textId="77777777" w:rsidR="006B43A7" w:rsidRPr="00F95FBA" w:rsidRDefault="006B43A7" w:rsidP="009B3704">
            <w:pPr>
              <w:jc w:val="both"/>
              <w:rPr>
                <w:rFonts w:ascii="Times New Roman" w:hAnsi="Times New Roman" w:cs="Times New Roman"/>
              </w:rPr>
            </w:pPr>
          </w:p>
        </w:tc>
        <w:tc>
          <w:tcPr>
            <w:tcW w:w="4395" w:type="dxa"/>
          </w:tcPr>
          <w:p w14:paraId="1EB975DE" w14:textId="21C76B33" w:rsidR="00112BFB" w:rsidRPr="00112BFB" w:rsidRDefault="00112BFB" w:rsidP="00112BFB">
            <w:pPr>
              <w:autoSpaceDE w:val="0"/>
              <w:autoSpaceDN w:val="0"/>
              <w:adjustRightInd w:val="0"/>
              <w:ind w:right="34"/>
              <w:jc w:val="both"/>
              <w:rPr>
                <w:rFonts w:ascii="Times New Roman" w:eastAsia="Calibri" w:hAnsi="Times New Roman" w:cs="Times New Roman"/>
                <w:color w:val="000000"/>
                <w:lang w:eastAsia="pl-PL"/>
              </w:rPr>
            </w:pPr>
            <w:r w:rsidRPr="00112BFB">
              <w:rPr>
                <w:rFonts w:ascii="Times New Roman" w:eastAsia="Calibri" w:hAnsi="Times New Roman" w:cs="Times New Roman"/>
                <w:color w:val="000000"/>
                <w:lang w:eastAsia="pl-PL"/>
              </w:rPr>
              <w:t>P</w:t>
            </w:r>
            <w:r w:rsidRPr="00112BFB">
              <w:rPr>
                <w:rFonts w:ascii="Times New Roman" w:eastAsia="Calibri" w:hAnsi="Times New Roman" w:cs="Times New Roman"/>
                <w:color w:val="000000"/>
                <w:lang w:eastAsia="pl-PL"/>
              </w:rPr>
              <w:t xml:space="preserve">rojektowane przepisy takiego obowiązku nie zawierają. </w:t>
            </w:r>
          </w:p>
          <w:p w14:paraId="31D6CEA9" w14:textId="77777777" w:rsidR="00112BFB" w:rsidRPr="00112BFB" w:rsidRDefault="00112BFB" w:rsidP="00112BFB">
            <w:pPr>
              <w:autoSpaceDE w:val="0"/>
              <w:autoSpaceDN w:val="0"/>
              <w:adjustRightInd w:val="0"/>
              <w:ind w:right="34"/>
              <w:jc w:val="both"/>
              <w:rPr>
                <w:rFonts w:ascii="Times New Roman" w:eastAsia="Calibri" w:hAnsi="Times New Roman" w:cs="Times New Roman"/>
                <w:color w:val="000000"/>
                <w:lang w:eastAsia="pl-PL"/>
              </w:rPr>
            </w:pPr>
          </w:p>
          <w:p w14:paraId="0A96DB09" w14:textId="77777777" w:rsidR="00112BFB" w:rsidRPr="00112BFB" w:rsidRDefault="00112BFB" w:rsidP="00112BFB">
            <w:pPr>
              <w:autoSpaceDE w:val="0"/>
              <w:autoSpaceDN w:val="0"/>
              <w:adjustRightInd w:val="0"/>
              <w:ind w:right="34"/>
              <w:jc w:val="both"/>
              <w:rPr>
                <w:rFonts w:ascii="Times New Roman" w:eastAsia="Calibri" w:hAnsi="Times New Roman" w:cs="Times New Roman"/>
                <w:color w:val="000000"/>
                <w:lang w:eastAsia="pl-PL"/>
              </w:rPr>
            </w:pPr>
          </w:p>
          <w:p w14:paraId="1A915B89" w14:textId="77777777" w:rsidR="00112BFB" w:rsidRPr="00112BFB" w:rsidRDefault="00112BFB" w:rsidP="00112BFB">
            <w:pPr>
              <w:autoSpaceDE w:val="0"/>
              <w:autoSpaceDN w:val="0"/>
              <w:adjustRightInd w:val="0"/>
              <w:ind w:right="34"/>
              <w:jc w:val="both"/>
              <w:rPr>
                <w:rFonts w:ascii="Times New Roman" w:eastAsia="Calibri" w:hAnsi="Times New Roman" w:cs="Times New Roman"/>
                <w:color w:val="000000"/>
                <w:lang w:eastAsia="pl-PL"/>
              </w:rPr>
            </w:pPr>
          </w:p>
          <w:p w14:paraId="27D5E676" w14:textId="77777777" w:rsidR="00112BFB" w:rsidRDefault="00112BFB" w:rsidP="00112BFB">
            <w:pPr>
              <w:autoSpaceDE w:val="0"/>
              <w:autoSpaceDN w:val="0"/>
              <w:adjustRightInd w:val="0"/>
              <w:ind w:right="34"/>
              <w:jc w:val="both"/>
              <w:rPr>
                <w:rFonts w:ascii="Times New Roman" w:eastAsia="Calibri" w:hAnsi="Times New Roman" w:cs="Times New Roman"/>
                <w:color w:val="000000"/>
                <w:lang w:eastAsia="pl-PL"/>
              </w:rPr>
            </w:pPr>
          </w:p>
          <w:p w14:paraId="4BEB991E" w14:textId="53F71608" w:rsidR="00112BFB" w:rsidRPr="00112BFB" w:rsidRDefault="00112BFB" w:rsidP="00112BFB">
            <w:pPr>
              <w:autoSpaceDE w:val="0"/>
              <w:autoSpaceDN w:val="0"/>
              <w:adjustRightInd w:val="0"/>
              <w:ind w:right="34"/>
              <w:jc w:val="both"/>
              <w:rPr>
                <w:rFonts w:ascii="Times New Roman" w:eastAsia="Calibri" w:hAnsi="Times New Roman" w:cs="Times New Roman"/>
                <w:color w:val="000000"/>
                <w:lang w:eastAsia="pl-PL"/>
              </w:rPr>
            </w:pPr>
            <w:r w:rsidRPr="00112BFB">
              <w:rPr>
                <w:rFonts w:ascii="Times New Roman" w:eastAsia="Calibri" w:hAnsi="Times New Roman" w:cs="Times New Roman"/>
                <w:color w:val="000000"/>
                <w:lang w:eastAsia="pl-PL"/>
              </w:rPr>
              <w:t>P</w:t>
            </w:r>
            <w:r w:rsidRPr="00112BFB">
              <w:rPr>
                <w:rFonts w:ascii="Times New Roman" w:eastAsia="Calibri" w:hAnsi="Times New Roman" w:cs="Times New Roman"/>
                <w:color w:val="000000"/>
                <w:lang w:eastAsia="pl-PL"/>
              </w:rPr>
              <w:t xml:space="preserve">odniesione zastrzeżenia dotyczą faktycznie przepisów już obowiązujących oraz funkcjonalności systemu teleinformatycznego obsługującego postępowanie sądowe, które istnieją od 2012 r. Od 1 lipca 2021 r. zostaną one jedynie przeniesione z jednego rozporządzenia do drugiego. Tym samym nie zachodzi potrzeba szczegółowego opisywania krok po kroku zasad regulujących tę kwestię, a jedynie w uzasadnieniu wyraźnie wskazano, że Regulacja ta (dot. § 5b) została przeniesiona </w:t>
            </w:r>
            <w:r w:rsidRPr="00112BFB">
              <w:rPr>
                <w:rFonts w:ascii="Times New Roman" w:eastAsia="Calibri" w:hAnsi="Times New Roman" w:cs="Times New Roman"/>
                <w:color w:val="000000"/>
                <w:lang w:eastAsia="pl-PL"/>
              </w:rPr>
              <w:br/>
              <w:t xml:space="preserve">z dotychczasowego rozporządzenia Ministra Sprawiedliwości z dnia 13 stycznia 2015 r. w sprawie sposobu i trybu składania wniosków o wpis do Krajowego Rejestru Sądowego dotyczących spółek, których umowę zawarto przy wykorzystaniu wzorca umowy spółki udostępnionego w systemie teleinformatycznym. Przy czym przeniesieniu temu nie towarzyszy żadna zmiana legislacyjna ani funkcjonalna w samym systemie teleinformatycznym (zmieniła się jedynie </w:t>
            </w:r>
            <w:r w:rsidRPr="00112BFB">
              <w:rPr>
                <w:rFonts w:ascii="Times New Roman" w:eastAsia="Calibri" w:hAnsi="Times New Roman" w:cs="Times New Roman"/>
                <w:color w:val="000000"/>
                <w:lang w:eastAsia="pl-PL"/>
              </w:rPr>
              <w:lastRenderedPageBreak/>
              <w:t xml:space="preserve">lokalizacja przepisów regulujących składanie wniosków o wpis do KRS w tzw. trybie S24). </w:t>
            </w:r>
          </w:p>
          <w:p w14:paraId="2FCE5EA8" w14:textId="1F08CC15" w:rsidR="003252FA" w:rsidRPr="00312057" w:rsidRDefault="00312057" w:rsidP="00312057">
            <w:pPr>
              <w:ind w:left="10" w:right="34"/>
              <w:jc w:val="both"/>
              <w:rPr>
                <w:rFonts w:ascii="Times New Roman" w:eastAsia="Calibri" w:hAnsi="Times New Roman" w:cs="Times New Roman"/>
                <w:color w:val="000000"/>
                <w:lang w:eastAsia="pl-PL"/>
              </w:rPr>
            </w:pPr>
            <w:r>
              <w:rPr>
                <w:rFonts w:ascii="Times New Roman" w:eastAsia="Calibri" w:hAnsi="Times New Roman" w:cs="Times New Roman"/>
                <w:color w:val="000000"/>
                <w:lang w:eastAsia="pl-PL"/>
              </w:rPr>
              <w:t>S</w:t>
            </w:r>
            <w:r w:rsidR="00112BFB" w:rsidRPr="00112BFB">
              <w:rPr>
                <w:rFonts w:ascii="Times New Roman" w:eastAsia="Calibri" w:hAnsi="Times New Roman" w:cs="Times New Roman"/>
                <w:color w:val="000000"/>
                <w:lang w:eastAsia="pl-PL"/>
              </w:rPr>
              <w:t>ystem teleinformatyczny obsługujący postępowanie sądowe jest zbudowany w taki sposób, że „wskazanie innych osób mających podpisać wniosek” nie polega na podawaniu danych osobowych, wskazaniu kogoś z imienia, nazwiska, numeru PESEL, czy ujawnieniu jego innych danych osobowych, lecz polega na udostępnieniu profilu danej spółki innej osobie poprzez podanie identyfikatora użytkownika konta, na którym ta osoba będzie składać swój podpis. Ta inna osoba mająca podpisać wniosek, na koncie, na którym udostępniono w powyższy sposób profil spółki, widzi wszystkie dokumenty, które zostały dla niej wytworzone, m.in. te, które wymagają podpisu tej osoby.</w:t>
            </w:r>
          </w:p>
        </w:tc>
      </w:tr>
      <w:tr w:rsidR="006B43A7" w:rsidRPr="00F95FBA" w14:paraId="0893DD87" w14:textId="6D586045" w:rsidTr="006B43A7">
        <w:tc>
          <w:tcPr>
            <w:tcW w:w="522" w:type="dxa"/>
          </w:tcPr>
          <w:p w14:paraId="71A10327" w14:textId="26D89A52" w:rsidR="006B43A7" w:rsidRPr="00F95FBA" w:rsidRDefault="00071D64" w:rsidP="009B3704">
            <w:pPr>
              <w:jc w:val="both"/>
              <w:rPr>
                <w:rFonts w:ascii="Times New Roman" w:hAnsi="Times New Roman" w:cs="Times New Roman"/>
              </w:rPr>
            </w:pPr>
            <w:r>
              <w:rPr>
                <w:rFonts w:ascii="Times New Roman" w:hAnsi="Times New Roman" w:cs="Times New Roman"/>
              </w:rPr>
              <w:lastRenderedPageBreak/>
              <w:t>6</w:t>
            </w:r>
            <w:r w:rsidR="006B43A7" w:rsidRPr="00F95FBA">
              <w:rPr>
                <w:rFonts w:ascii="Times New Roman" w:hAnsi="Times New Roman" w:cs="Times New Roman"/>
              </w:rPr>
              <w:t>.</w:t>
            </w:r>
          </w:p>
        </w:tc>
        <w:tc>
          <w:tcPr>
            <w:tcW w:w="1548" w:type="dxa"/>
          </w:tcPr>
          <w:p w14:paraId="4902D598" w14:textId="48766E44" w:rsidR="006B43A7" w:rsidRPr="00F95FBA" w:rsidRDefault="006B43A7" w:rsidP="009B3704">
            <w:pPr>
              <w:jc w:val="both"/>
              <w:rPr>
                <w:rFonts w:ascii="Times New Roman" w:hAnsi="Times New Roman" w:cs="Times New Roman"/>
              </w:rPr>
            </w:pPr>
            <w:r w:rsidRPr="00F95FBA">
              <w:rPr>
                <w:rFonts w:ascii="Times New Roman" w:hAnsi="Times New Roman" w:cs="Times New Roman"/>
              </w:rPr>
              <w:t>Konfederacja Lewiatan</w:t>
            </w:r>
          </w:p>
        </w:tc>
        <w:tc>
          <w:tcPr>
            <w:tcW w:w="1747" w:type="dxa"/>
          </w:tcPr>
          <w:p w14:paraId="0CC90DC0" w14:textId="5E7B63CA" w:rsidR="006B43A7" w:rsidRPr="00F95FBA" w:rsidRDefault="006B43A7" w:rsidP="009B3704">
            <w:pPr>
              <w:jc w:val="both"/>
              <w:rPr>
                <w:rFonts w:ascii="Times New Roman" w:hAnsi="Times New Roman" w:cs="Times New Roman"/>
              </w:rPr>
            </w:pPr>
            <w:r w:rsidRPr="00F95FBA">
              <w:rPr>
                <w:rFonts w:ascii="Times New Roman" w:hAnsi="Times New Roman" w:cs="Times New Roman"/>
              </w:rPr>
              <w:t>§ 1 pkt 1 – definicja „podpisu elektronicznego”</w:t>
            </w:r>
          </w:p>
        </w:tc>
        <w:tc>
          <w:tcPr>
            <w:tcW w:w="5250" w:type="dxa"/>
          </w:tcPr>
          <w:p w14:paraId="2A843825" w14:textId="77777777" w:rsidR="006B43A7" w:rsidRPr="00F95FBA" w:rsidRDefault="006B43A7" w:rsidP="009B3704">
            <w:pPr>
              <w:jc w:val="both"/>
              <w:rPr>
                <w:rFonts w:ascii="Times New Roman" w:hAnsi="Times New Roman" w:cs="Times New Roman"/>
              </w:rPr>
            </w:pPr>
            <w:r w:rsidRPr="00F95FBA">
              <w:rPr>
                <w:rFonts w:ascii="Times New Roman" w:hAnsi="Times New Roman" w:cs="Times New Roman"/>
              </w:rPr>
              <w:t>Projekt posługuje się definicją podpisu elektronicznego (§ 1 pkt 1 projektowanego rozporządzenia), ujmując ją następująco: „</w:t>
            </w:r>
            <w:r w:rsidRPr="00F95FBA">
              <w:rPr>
                <w:rFonts w:ascii="Times New Roman" w:hAnsi="Times New Roman" w:cs="Times New Roman"/>
                <w:i/>
                <w:iCs/>
              </w:rPr>
              <w:t>podpisie elektronicznym” – rozumie się przez to kwalifikowany podpis elektroniczny, podpis zaufany albo podpis osobisty</w:t>
            </w:r>
            <w:r w:rsidRPr="00F95FBA">
              <w:rPr>
                <w:rFonts w:ascii="Times New Roman" w:hAnsi="Times New Roman" w:cs="Times New Roman"/>
              </w:rPr>
              <w:t>”.</w:t>
            </w:r>
          </w:p>
          <w:p w14:paraId="7812AC8B" w14:textId="77777777" w:rsidR="006B43A7" w:rsidRPr="00F95FBA" w:rsidRDefault="006B43A7" w:rsidP="009B3704">
            <w:pPr>
              <w:jc w:val="both"/>
              <w:rPr>
                <w:rFonts w:ascii="Times New Roman" w:hAnsi="Times New Roman" w:cs="Times New Roman"/>
              </w:rPr>
            </w:pPr>
            <w:r w:rsidRPr="00F95FBA">
              <w:rPr>
                <w:rFonts w:ascii="Times New Roman" w:hAnsi="Times New Roman" w:cs="Times New Roman"/>
              </w:rPr>
              <w:t>Definicja podpisu osobistego została ujęta w art. 2 ust. 1 pkt 9 ustawy z dnia 6 sierpnia 2010 r. o dowodach osobistych: „</w:t>
            </w:r>
            <w:r w:rsidRPr="00F95FBA">
              <w:rPr>
                <w:rFonts w:ascii="Times New Roman" w:hAnsi="Times New Roman" w:cs="Times New Roman"/>
                <w:i/>
                <w:iCs/>
              </w:rPr>
              <w:t>podpis osobisty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r w:rsidRPr="00F95FBA">
              <w:rPr>
                <w:rFonts w:ascii="Times New Roman" w:hAnsi="Times New Roman" w:cs="Times New Roman"/>
              </w:rPr>
              <w:t>”. Jednocześnie funkcję podpisu osobistego określono w art. 12d ustawy o dowodach osobistych.</w:t>
            </w:r>
          </w:p>
          <w:p w14:paraId="1ECC1F86" w14:textId="77777777" w:rsidR="006B43A7" w:rsidRPr="00F95FBA" w:rsidRDefault="006B43A7" w:rsidP="009B3704">
            <w:pPr>
              <w:jc w:val="both"/>
              <w:rPr>
                <w:rFonts w:ascii="Times New Roman" w:hAnsi="Times New Roman" w:cs="Times New Roman"/>
              </w:rPr>
            </w:pPr>
            <w:r w:rsidRPr="00F95FBA">
              <w:rPr>
                <w:rFonts w:ascii="Times New Roman" w:hAnsi="Times New Roman" w:cs="Times New Roman"/>
              </w:rPr>
              <w:lastRenderedPageBreak/>
              <w:t>Pojęcie podpisu osobistego, ze względu na jego mylące określenie, może być błędnie interpretowane. Jak wskazano wyżej, wykładnia systemowa odnosi je do pojęcia z ustawy o dowodach osobistych, jednakże aby uniknąć wszelkich możliwych wątpliwości proponujemy porządkujące doprecyzowanie definicji podpisu elektronicznego w sposób następujący:</w:t>
            </w:r>
          </w:p>
          <w:p w14:paraId="7F3635B5" w14:textId="77777777" w:rsidR="006B43A7" w:rsidRPr="00F95FBA" w:rsidRDefault="006B43A7" w:rsidP="009B3704">
            <w:pPr>
              <w:jc w:val="both"/>
              <w:rPr>
                <w:rFonts w:ascii="Times New Roman" w:hAnsi="Times New Roman" w:cs="Times New Roman"/>
              </w:rPr>
            </w:pPr>
            <w:r w:rsidRPr="00F95FBA">
              <w:rPr>
                <w:rFonts w:ascii="Times New Roman" w:hAnsi="Times New Roman" w:cs="Times New Roman"/>
              </w:rPr>
              <w:t>„</w:t>
            </w:r>
            <w:r w:rsidRPr="00F95FBA">
              <w:rPr>
                <w:rFonts w:ascii="Times New Roman" w:hAnsi="Times New Roman" w:cs="Times New Roman"/>
                <w:i/>
                <w:iCs/>
              </w:rPr>
              <w:t>podpisie osobistym – rozumie prze to kwalifikowany podpis elektroniczny, podpis zaufany albo podpis osobisty określony w art. 2 ust. 1 pkt 9 ustawy z dnia 6 sierpnia 2010 r. o dowodach osobistych</w:t>
            </w:r>
            <w:r w:rsidRPr="00F95FBA">
              <w:rPr>
                <w:rFonts w:ascii="Times New Roman" w:hAnsi="Times New Roman" w:cs="Times New Roman"/>
              </w:rPr>
              <w:t>”.</w:t>
            </w:r>
          </w:p>
          <w:p w14:paraId="182136F3" w14:textId="1EC824BD" w:rsidR="001E6B8A" w:rsidRPr="00F95FBA" w:rsidRDefault="001E6B8A" w:rsidP="009B3704">
            <w:pPr>
              <w:jc w:val="both"/>
              <w:rPr>
                <w:rFonts w:ascii="Times New Roman" w:hAnsi="Times New Roman" w:cs="Times New Roman"/>
              </w:rPr>
            </w:pPr>
          </w:p>
        </w:tc>
        <w:tc>
          <w:tcPr>
            <w:tcW w:w="4395" w:type="dxa"/>
          </w:tcPr>
          <w:p w14:paraId="5ABFAE35" w14:textId="07666CC6" w:rsidR="003D3EDD" w:rsidRPr="003D3EDD" w:rsidRDefault="003D3EDD" w:rsidP="003D3EDD">
            <w:pPr>
              <w:ind w:right="34"/>
              <w:jc w:val="both"/>
              <w:rPr>
                <w:rFonts w:ascii="Times New Roman" w:eastAsia="Calibri" w:hAnsi="Times New Roman" w:cs="Times New Roman"/>
                <w:color w:val="000000"/>
                <w:lang w:eastAsia="pl-PL"/>
              </w:rPr>
            </w:pPr>
            <w:r w:rsidRPr="003D3EDD">
              <w:rPr>
                <w:rFonts w:ascii="Times New Roman" w:eastAsia="Calibri" w:hAnsi="Times New Roman" w:cs="Times New Roman"/>
                <w:color w:val="000000"/>
                <w:lang w:eastAsia="pl-PL"/>
              </w:rPr>
              <w:lastRenderedPageBreak/>
              <w:t>P</w:t>
            </w:r>
            <w:r w:rsidRPr="003D3EDD">
              <w:rPr>
                <w:rFonts w:ascii="Times New Roman" w:eastAsia="Calibri" w:hAnsi="Times New Roman" w:cs="Times New Roman"/>
                <w:color w:val="000000"/>
                <w:lang w:eastAsia="pl-PL"/>
              </w:rPr>
              <w:t xml:space="preserve">rojektowane rozporządzenie jest aktem wykonawczym do przepisów ustawy z dnia 17 listopada 1964 r. – Kodeks postępowania cywilnego (Dz. U. z 2020 r. poz. 1575 z </w:t>
            </w:r>
            <w:proofErr w:type="spellStart"/>
            <w:r w:rsidRPr="003D3EDD">
              <w:rPr>
                <w:rFonts w:ascii="Times New Roman" w:eastAsia="Calibri" w:hAnsi="Times New Roman" w:cs="Times New Roman"/>
                <w:color w:val="000000"/>
                <w:lang w:eastAsia="pl-PL"/>
              </w:rPr>
              <w:t>późn</w:t>
            </w:r>
            <w:proofErr w:type="spellEnd"/>
            <w:r w:rsidRPr="003D3EDD">
              <w:rPr>
                <w:rFonts w:ascii="Times New Roman" w:eastAsia="Calibri" w:hAnsi="Times New Roman" w:cs="Times New Roman"/>
                <w:color w:val="000000"/>
                <w:lang w:eastAsia="pl-PL"/>
              </w:rPr>
              <w:t xml:space="preserve">. zm., zwanej dalej </w:t>
            </w:r>
            <w:r w:rsidRPr="003D3EDD">
              <w:rPr>
                <w:rFonts w:ascii="Times New Roman" w:eastAsia="Calibri" w:hAnsi="Times New Roman" w:cs="Times New Roman"/>
                <w:i/>
                <w:iCs/>
                <w:color w:val="000000"/>
                <w:lang w:eastAsia="pl-PL"/>
              </w:rPr>
              <w:t>„k.p.c.”</w:t>
            </w:r>
            <w:r w:rsidRPr="003D3EDD">
              <w:rPr>
                <w:rFonts w:ascii="Times New Roman" w:eastAsia="Calibri" w:hAnsi="Times New Roman" w:cs="Times New Roman"/>
                <w:color w:val="000000"/>
                <w:lang w:eastAsia="pl-PL"/>
              </w:rPr>
              <w:t xml:space="preserve">) i nawiązuje ono wprost do trzech rodzajów podpisu elektronicznego wymienianych w art. 126 § 5 k.p.c. </w:t>
            </w:r>
          </w:p>
          <w:p w14:paraId="068B11F5" w14:textId="7F67A824" w:rsidR="003D3EDD" w:rsidRPr="003D3EDD" w:rsidRDefault="003D3EDD" w:rsidP="003D3EDD">
            <w:pPr>
              <w:jc w:val="both"/>
              <w:rPr>
                <w:rFonts w:ascii="Times New Roman" w:eastAsia="Calibri" w:hAnsi="Times New Roman" w:cs="Times New Roman"/>
                <w:color w:val="000000"/>
                <w:lang w:eastAsia="pl-PL"/>
              </w:rPr>
            </w:pPr>
            <w:r w:rsidRPr="003D3EDD">
              <w:rPr>
                <w:rFonts w:ascii="Times New Roman" w:eastAsia="Times New Roman" w:hAnsi="Times New Roman" w:cs="Times New Roman"/>
                <w:color w:val="000000"/>
                <w:lang w:eastAsia="pl-PL"/>
              </w:rPr>
              <w:t>Na gruncie przepisów k.p.c. rozumienie pojęcia „</w:t>
            </w:r>
            <w:r w:rsidRPr="003D3EDD">
              <w:rPr>
                <w:rFonts w:ascii="Times New Roman" w:eastAsia="Times New Roman" w:hAnsi="Times New Roman" w:cs="Times New Roman"/>
                <w:i/>
                <w:iCs/>
                <w:color w:val="000000"/>
                <w:lang w:eastAsia="pl-PL"/>
              </w:rPr>
              <w:t>podpisu osobistego</w:t>
            </w:r>
            <w:r w:rsidRPr="003D3EDD">
              <w:rPr>
                <w:rFonts w:ascii="Times New Roman" w:eastAsia="Times New Roman" w:hAnsi="Times New Roman" w:cs="Times New Roman"/>
                <w:color w:val="000000"/>
                <w:lang w:eastAsia="pl-PL"/>
              </w:rPr>
              <w:t xml:space="preserve">”, jest już uregulowane i ugruntowane od ponad 2 lat (w tym zakresie zmiana wskazanej ustawy </w:t>
            </w:r>
            <w:r w:rsidRPr="003D3EDD">
              <w:rPr>
                <w:rFonts w:ascii="Times New Roman" w:eastAsia="Times New Roman" w:hAnsi="Times New Roman" w:cs="Times New Roman"/>
                <w:color w:val="000000"/>
                <w:lang w:eastAsia="pl-PL"/>
              </w:rPr>
              <w:br/>
              <w:t>o dowodach osobistych, a w konsekwencji zmiana k.p.c., weszła w życie 4 marca 2019 r.), nie ma zatem pola do wątpliwości, czym jest „</w:t>
            </w:r>
            <w:r w:rsidRPr="003D3EDD">
              <w:rPr>
                <w:rFonts w:ascii="Times New Roman" w:eastAsia="Times New Roman" w:hAnsi="Times New Roman" w:cs="Times New Roman"/>
                <w:i/>
                <w:iCs/>
                <w:color w:val="000000"/>
                <w:lang w:eastAsia="pl-PL"/>
              </w:rPr>
              <w:t>podpis osobisty</w:t>
            </w:r>
            <w:r w:rsidRPr="003D3EDD">
              <w:rPr>
                <w:rFonts w:ascii="Times New Roman" w:eastAsia="Times New Roman" w:hAnsi="Times New Roman" w:cs="Times New Roman"/>
                <w:color w:val="000000"/>
                <w:lang w:eastAsia="pl-PL"/>
              </w:rPr>
              <w:t xml:space="preserve">” jako jeden z podpisów elektronicznych. Nie budzi także wątpliwości, </w:t>
            </w:r>
            <w:r w:rsidRPr="003D3EDD">
              <w:rPr>
                <w:rFonts w:ascii="Times New Roman" w:eastAsia="Times New Roman" w:hAnsi="Times New Roman" w:cs="Times New Roman"/>
                <w:color w:val="000000"/>
                <w:lang w:eastAsia="pl-PL"/>
              </w:rPr>
              <w:lastRenderedPageBreak/>
              <w:t>że na gruncie art. 126 § 5 k.p.c. chodzi o „</w:t>
            </w:r>
            <w:r w:rsidRPr="003D3EDD">
              <w:rPr>
                <w:rFonts w:ascii="Times New Roman" w:eastAsia="Times New Roman" w:hAnsi="Times New Roman" w:cs="Times New Roman"/>
                <w:i/>
                <w:iCs/>
                <w:color w:val="000000"/>
                <w:lang w:eastAsia="pl-PL"/>
              </w:rPr>
              <w:t>podpis osobisty</w:t>
            </w:r>
            <w:r w:rsidRPr="003D3EDD">
              <w:rPr>
                <w:rFonts w:ascii="Times New Roman" w:eastAsia="Times New Roman" w:hAnsi="Times New Roman" w:cs="Times New Roman"/>
                <w:color w:val="000000"/>
                <w:lang w:eastAsia="pl-PL"/>
              </w:rPr>
              <w:t>” w rozumieniu ustawy o dowodach osobistych.</w:t>
            </w:r>
          </w:p>
          <w:p w14:paraId="4D45C498" w14:textId="3F4518AF" w:rsidR="003D3EDD" w:rsidRPr="003D3EDD" w:rsidRDefault="003D3EDD" w:rsidP="009B3704">
            <w:pPr>
              <w:jc w:val="both"/>
              <w:rPr>
                <w:rFonts w:ascii="Times New Roman" w:eastAsia="Times New Roman" w:hAnsi="Times New Roman" w:cs="Times New Roman"/>
                <w:lang w:eastAsia="pl-PL"/>
              </w:rPr>
            </w:pPr>
          </w:p>
        </w:tc>
      </w:tr>
    </w:tbl>
    <w:p w14:paraId="6FD561DC" w14:textId="77777777" w:rsidR="001502E0" w:rsidRPr="00E214F3" w:rsidRDefault="001502E0" w:rsidP="009B3704">
      <w:pPr>
        <w:jc w:val="both"/>
        <w:rPr>
          <w:rFonts w:ascii="Times New Roman" w:hAnsi="Times New Roman" w:cs="Times New Roman"/>
        </w:rPr>
      </w:pPr>
    </w:p>
    <w:p w14:paraId="762D1F0B" w14:textId="77777777" w:rsidR="001502E0" w:rsidRPr="00E214F3" w:rsidRDefault="001502E0" w:rsidP="001502E0">
      <w:pPr>
        <w:rPr>
          <w:rFonts w:ascii="Times New Roman" w:hAnsi="Times New Roman" w:cs="Times New Roman"/>
        </w:rPr>
      </w:pPr>
    </w:p>
    <w:sectPr w:rsidR="001502E0" w:rsidRPr="00E214F3" w:rsidSect="001502E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53A7F" w14:textId="77777777" w:rsidR="00217B74" w:rsidRDefault="00217B74" w:rsidP="00217B74">
      <w:pPr>
        <w:spacing w:after="0" w:line="240" w:lineRule="auto"/>
      </w:pPr>
      <w:r>
        <w:separator/>
      </w:r>
    </w:p>
  </w:endnote>
  <w:endnote w:type="continuationSeparator" w:id="0">
    <w:p w14:paraId="26F2C91C" w14:textId="77777777" w:rsidR="00217B74" w:rsidRDefault="00217B74" w:rsidP="00217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8BDED" w14:textId="77777777" w:rsidR="00217B74" w:rsidRDefault="00217B74" w:rsidP="00217B74">
      <w:pPr>
        <w:spacing w:after="0" w:line="240" w:lineRule="auto"/>
      </w:pPr>
      <w:r>
        <w:separator/>
      </w:r>
    </w:p>
  </w:footnote>
  <w:footnote w:type="continuationSeparator" w:id="0">
    <w:p w14:paraId="773CBF93" w14:textId="77777777" w:rsidR="00217B74" w:rsidRDefault="00217B74" w:rsidP="00217B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C3773F"/>
    <w:multiLevelType w:val="hybridMultilevel"/>
    <w:tmpl w:val="5010ED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3EB"/>
    <w:rsid w:val="00010E65"/>
    <w:rsid w:val="000152CC"/>
    <w:rsid w:val="00025FEB"/>
    <w:rsid w:val="00036D45"/>
    <w:rsid w:val="00046111"/>
    <w:rsid w:val="00054113"/>
    <w:rsid w:val="00061594"/>
    <w:rsid w:val="00071D64"/>
    <w:rsid w:val="000730AC"/>
    <w:rsid w:val="00077978"/>
    <w:rsid w:val="00086D8A"/>
    <w:rsid w:val="0008789B"/>
    <w:rsid w:val="00087C33"/>
    <w:rsid w:val="000A0463"/>
    <w:rsid w:val="000A1E5C"/>
    <w:rsid w:val="000D285B"/>
    <w:rsid w:val="000E51D6"/>
    <w:rsid w:val="000F5FA5"/>
    <w:rsid w:val="00101110"/>
    <w:rsid w:val="00112BFB"/>
    <w:rsid w:val="0012276F"/>
    <w:rsid w:val="001402A5"/>
    <w:rsid w:val="001502E0"/>
    <w:rsid w:val="0015086E"/>
    <w:rsid w:val="001512C3"/>
    <w:rsid w:val="00151309"/>
    <w:rsid w:val="00155021"/>
    <w:rsid w:val="00160AA4"/>
    <w:rsid w:val="001873D3"/>
    <w:rsid w:val="001C3AAB"/>
    <w:rsid w:val="001E1197"/>
    <w:rsid w:val="001E6B8A"/>
    <w:rsid w:val="001F6D4D"/>
    <w:rsid w:val="00217B74"/>
    <w:rsid w:val="00236CF4"/>
    <w:rsid w:val="00243446"/>
    <w:rsid w:val="00254245"/>
    <w:rsid w:val="00261236"/>
    <w:rsid w:val="00263697"/>
    <w:rsid w:val="0028439B"/>
    <w:rsid w:val="00286B18"/>
    <w:rsid w:val="002A2160"/>
    <w:rsid w:val="002A45E7"/>
    <w:rsid w:val="002A64FE"/>
    <w:rsid w:val="002A7E9F"/>
    <w:rsid w:val="002C4018"/>
    <w:rsid w:val="002E1628"/>
    <w:rsid w:val="00312057"/>
    <w:rsid w:val="003252FA"/>
    <w:rsid w:val="00345644"/>
    <w:rsid w:val="003547AC"/>
    <w:rsid w:val="00357E32"/>
    <w:rsid w:val="00364ACD"/>
    <w:rsid w:val="0038346F"/>
    <w:rsid w:val="00383C8D"/>
    <w:rsid w:val="003A422B"/>
    <w:rsid w:val="003A4D52"/>
    <w:rsid w:val="003B46C1"/>
    <w:rsid w:val="003D0EDA"/>
    <w:rsid w:val="003D392F"/>
    <w:rsid w:val="003D3EDD"/>
    <w:rsid w:val="003F0E65"/>
    <w:rsid w:val="003F2594"/>
    <w:rsid w:val="004103EB"/>
    <w:rsid w:val="00441A8A"/>
    <w:rsid w:val="00450451"/>
    <w:rsid w:val="004C0C7B"/>
    <w:rsid w:val="004C20EA"/>
    <w:rsid w:val="004F39CA"/>
    <w:rsid w:val="005122A4"/>
    <w:rsid w:val="00517F72"/>
    <w:rsid w:val="00533E51"/>
    <w:rsid w:val="00537C9A"/>
    <w:rsid w:val="00555DBE"/>
    <w:rsid w:val="00570FA5"/>
    <w:rsid w:val="00574846"/>
    <w:rsid w:val="00597A62"/>
    <w:rsid w:val="005A3CAE"/>
    <w:rsid w:val="005A3E93"/>
    <w:rsid w:val="005A6C8A"/>
    <w:rsid w:val="005D0C4B"/>
    <w:rsid w:val="005D4E6D"/>
    <w:rsid w:val="00605875"/>
    <w:rsid w:val="00615A36"/>
    <w:rsid w:val="0062740F"/>
    <w:rsid w:val="00630B8F"/>
    <w:rsid w:val="00670AC9"/>
    <w:rsid w:val="00685F36"/>
    <w:rsid w:val="00690611"/>
    <w:rsid w:val="00694858"/>
    <w:rsid w:val="006A0A76"/>
    <w:rsid w:val="006B0E1F"/>
    <w:rsid w:val="006B43A7"/>
    <w:rsid w:val="006C5B2C"/>
    <w:rsid w:val="006D017D"/>
    <w:rsid w:val="006D2A22"/>
    <w:rsid w:val="006D7F7A"/>
    <w:rsid w:val="006E014E"/>
    <w:rsid w:val="006F6767"/>
    <w:rsid w:val="00702A1A"/>
    <w:rsid w:val="00702CD6"/>
    <w:rsid w:val="00716B12"/>
    <w:rsid w:val="00723408"/>
    <w:rsid w:val="00755218"/>
    <w:rsid w:val="0075590A"/>
    <w:rsid w:val="00781F12"/>
    <w:rsid w:val="0079718A"/>
    <w:rsid w:val="007A2573"/>
    <w:rsid w:val="007A3C34"/>
    <w:rsid w:val="007B591C"/>
    <w:rsid w:val="007C08BC"/>
    <w:rsid w:val="007F31FC"/>
    <w:rsid w:val="007F46FF"/>
    <w:rsid w:val="00800206"/>
    <w:rsid w:val="0080448B"/>
    <w:rsid w:val="00816CBD"/>
    <w:rsid w:val="00842BE7"/>
    <w:rsid w:val="008473EF"/>
    <w:rsid w:val="00870635"/>
    <w:rsid w:val="0088693B"/>
    <w:rsid w:val="008A4A2B"/>
    <w:rsid w:val="008B47AE"/>
    <w:rsid w:val="008C504E"/>
    <w:rsid w:val="008C67E8"/>
    <w:rsid w:val="008F19C9"/>
    <w:rsid w:val="009038B5"/>
    <w:rsid w:val="00903B4B"/>
    <w:rsid w:val="0093171F"/>
    <w:rsid w:val="00947F3F"/>
    <w:rsid w:val="00953746"/>
    <w:rsid w:val="0097538D"/>
    <w:rsid w:val="00991C5C"/>
    <w:rsid w:val="00991DB4"/>
    <w:rsid w:val="0099527B"/>
    <w:rsid w:val="009A6C2C"/>
    <w:rsid w:val="009B3704"/>
    <w:rsid w:val="009B4D9B"/>
    <w:rsid w:val="009B5FBD"/>
    <w:rsid w:val="009C5A30"/>
    <w:rsid w:val="009E55E8"/>
    <w:rsid w:val="009F2B74"/>
    <w:rsid w:val="00A20BAF"/>
    <w:rsid w:val="00A23683"/>
    <w:rsid w:val="00A3517D"/>
    <w:rsid w:val="00A427D2"/>
    <w:rsid w:val="00A6116B"/>
    <w:rsid w:val="00A9011A"/>
    <w:rsid w:val="00A93E96"/>
    <w:rsid w:val="00AB76E1"/>
    <w:rsid w:val="00AF619C"/>
    <w:rsid w:val="00B01F06"/>
    <w:rsid w:val="00B15095"/>
    <w:rsid w:val="00B17366"/>
    <w:rsid w:val="00B347A6"/>
    <w:rsid w:val="00B411E4"/>
    <w:rsid w:val="00B66026"/>
    <w:rsid w:val="00B73DBB"/>
    <w:rsid w:val="00B837BA"/>
    <w:rsid w:val="00B96092"/>
    <w:rsid w:val="00B974D7"/>
    <w:rsid w:val="00B97EF8"/>
    <w:rsid w:val="00BA1AB6"/>
    <w:rsid w:val="00BA59A5"/>
    <w:rsid w:val="00BB4616"/>
    <w:rsid w:val="00BB5576"/>
    <w:rsid w:val="00BD7871"/>
    <w:rsid w:val="00BD7B2F"/>
    <w:rsid w:val="00BE7BAC"/>
    <w:rsid w:val="00BF5C1C"/>
    <w:rsid w:val="00C31852"/>
    <w:rsid w:val="00C3253D"/>
    <w:rsid w:val="00C4047B"/>
    <w:rsid w:val="00C41AF6"/>
    <w:rsid w:val="00C60C3D"/>
    <w:rsid w:val="00C61C68"/>
    <w:rsid w:val="00C654E0"/>
    <w:rsid w:val="00C9227A"/>
    <w:rsid w:val="00CD16AD"/>
    <w:rsid w:val="00CD5C72"/>
    <w:rsid w:val="00CF73B3"/>
    <w:rsid w:val="00D16EEF"/>
    <w:rsid w:val="00D2135B"/>
    <w:rsid w:val="00D25154"/>
    <w:rsid w:val="00D30CD9"/>
    <w:rsid w:val="00D3574F"/>
    <w:rsid w:val="00D439D1"/>
    <w:rsid w:val="00D55617"/>
    <w:rsid w:val="00D764F5"/>
    <w:rsid w:val="00D81FBD"/>
    <w:rsid w:val="00DA4344"/>
    <w:rsid w:val="00DC03D1"/>
    <w:rsid w:val="00DC667C"/>
    <w:rsid w:val="00DD1E06"/>
    <w:rsid w:val="00DD450F"/>
    <w:rsid w:val="00DF29DD"/>
    <w:rsid w:val="00E169DB"/>
    <w:rsid w:val="00E214F3"/>
    <w:rsid w:val="00E236AA"/>
    <w:rsid w:val="00E573C9"/>
    <w:rsid w:val="00E6255A"/>
    <w:rsid w:val="00E62C27"/>
    <w:rsid w:val="00E64817"/>
    <w:rsid w:val="00E76617"/>
    <w:rsid w:val="00E7706C"/>
    <w:rsid w:val="00E807C2"/>
    <w:rsid w:val="00E81BA6"/>
    <w:rsid w:val="00E93820"/>
    <w:rsid w:val="00EA28A8"/>
    <w:rsid w:val="00EB6FAB"/>
    <w:rsid w:val="00EC0B11"/>
    <w:rsid w:val="00EC5146"/>
    <w:rsid w:val="00ED0E19"/>
    <w:rsid w:val="00EE5838"/>
    <w:rsid w:val="00EF00EE"/>
    <w:rsid w:val="00F03FA4"/>
    <w:rsid w:val="00F12AC3"/>
    <w:rsid w:val="00F24E55"/>
    <w:rsid w:val="00F301E3"/>
    <w:rsid w:val="00F576CE"/>
    <w:rsid w:val="00F67403"/>
    <w:rsid w:val="00F755A8"/>
    <w:rsid w:val="00F81319"/>
    <w:rsid w:val="00F95FBA"/>
    <w:rsid w:val="00FA198F"/>
    <w:rsid w:val="00FB52F6"/>
    <w:rsid w:val="00FB76AD"/>
    <w:rsid w:val="00FC0332"/>
    <w:rsid w:val="00FC466D"/>
    <w:rsid w:val="00FD0A72"/>
    <w:rsid w:val="00FD0E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23C46"/>
  <w15:chartTrackingRefBased/>
  <w15:docId w15:val="{86F5D422-AB57-43D2-B9B9-6D2EB918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5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236AA"/>
    <w:pPr>
      <w:ind w:left="720"/>
      <w:contextualSpacing/>
    </w:pPr>
  </w:style>
  <w:style w:type="paragraph" w:styleId="Tekstdymka">
    <w:name w:val="Balloon Text"/>
    <w:basedOn w:val="Normalny"/>
    <w:link w:val="TekstdymkaZnak"/>
    <w:uiPriority w:val="99"/>
    <w:semiHidden/>
    <w:unhideWhenUsed/>
    <w:rsid w:val="000F5F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5FA5"/>
    <w:rPr>
      <w:rFonts w:ascii="Segoe UI" w:hAnsi="Segoe UI" w:cs="Segoe UI"/>
      <w:sz w:val="18"/>
      <w:szCs w:val="18"/>
    </w:rPr>
  </w:style>
  <w:style w:type="paragraph" w:customStyle="1" w:styleId="Default">
    <w:name w:val="Default"/>
    <w:rsid w:val="00046111"/>
    <w:pPr>
      <w:autoSpaceDE w:val="0"/>
      <w:autoSpaceDN w:val="0"/>
      <w:adjustRightInd w:val="0"/>
      <w:spacing w:after="0" w:line="240" w:lineRule="auto"/>
    </w:pPr>
    <w:rPr>
      <w:rFonts w:ascii="Garamond" w:hAnsi="Garamond" w:cs="Garamond"/>
      <w:color w:val="000000"/>
      <w:sz w:val="24"/>
      <w:szCs w:val="24"/>
    </w:rPr>
  </w:style>
  <w:style w:type="paragraph" w:customStyle="1" w:styleId="ZUSTzmustartykuempunktem">
    <w:name w:val="Z/UST(§) – zm. ust. (§) artykułem (punktem)"/>
    <w:basedOn w:val="Normalny"/>
    <w:uiPriority w:val="30"/>
    <w:qFormat/>
    <w:rsid w:val="00C3253D"/>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ARTartustawynprozporzdzenia">
    <w:name w:val="ART(§) – art. ustawy (§ np. rozporządzenia)"/>
    <w:uiPriority w:val="11"/>
    <w:qFormat/>
    <w:rsid w:val="00685F3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rzypisukocowego">
    <w:name w:val="endnote text"/>
    <w:basedOn w:val="Normalny"/>
    <w:link w:val="TekstprzypisukocowegoZnak"/>
    <w:uiPriority w:val="99"/>
    <w:semiHidden/>
    <w:unhideWhenUsed/>
    <w:rsid w:val="00217B7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17B74"/>
    <w:rPr>
      <w:sz w:val="20"/>
      <w:szCs w:val="20"/>
    </w:rPr>
  </w:style>
  <w:style w:type="character" w:styleId="Odwoanieprzypisukocowego">
    <w:name w:val="endnote reference"/>
    <w:basedOn w:val="Domylnaczcionkaakapitu"/>
    <w:uiPriority w:val="99"/>
    <w:semiHidden/>
    <w:unhideWhenUsed/>
    <w:rsid w:val="00217B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006518">
      <w:bodyDiv w:val="1"/>
      <w:marLeft w:val="0"/>
      <w:marRight w:val="0"/>
      <w:marTop w:val="0"/>
      <w:marBottom w:val="0"/>
      <w:divBdr>
        <w:top w:val="none" w:sz="0" w:space="0" w:color="auto"/>
        <w:left w:val="none" w:sz="0" w:space="0" w:color="auto"/>
        <w:bottom w:val="none" w:sz="0" w:space="0" w:color="auto"/>
        <w:right w:val="none" w:sz="0" w:space="0" w:color="auto"/>
      </w:divBdr>
      <w:divsChild>
        <w:div w:id="12461756">
          <w:marLeft w:val="0"/>
          <w:marRight w:val="0"/>
          <w:marTop w:val="0"/>
          <w:marBottom w:val="0"/>
          <w:divBdr>
            <w:top w:val="none" w:sz="0" w:space="0" w:color="auto"/>
            <w:left w:val="none" w:sz="0" w:space="0" w:color="auto"/>
            <w:bottom w:val="none" w:sz="0" w:space="0" w:color="auto"/>
            <w:right w:val="none" w:sz="0" w:space="0" w:color="auto"/>
          </w:divBdr>
        </w:div>
      </w:divsChild>
    </w:div>
    <w:div w:id="294258600">
      <w:bodyDiv w:val="1"/>
      <w:marLeft w:val="0"/>
      <w:marRight w:val="0"/>
      <w:marTop w:val="0"/>
      <w:marBottom w:val="0"/>
      <w:divBdr>
        <w:top w:val="none" w:sz="0" w:space="0" w:color="auto"/>
        <w:left w:val="none" w:sz="0" w:space="0" w:color="auto"/>
        <w:bottom w:val="none" w:sz="0" w:space="0" w:color="auto"/>
        <w:right w:val="none" w:sz="0" w:space="0" w:color="auto"/>
      </w:divBdr>
    </w:div>
    <w:div w:id="1293629183">
      <w:bodyDiv w:val="1"/>
      <w:marLeft w:val="0"/>
      <w:marRight w:val="0"/>
      <w:marTop w:val="0"/>
      <w:marBottom w:val="0"/>
      <w:divBdr>
        <w:top w:val="none" w:sz="0" w:space="0" w:color="auto"/>
        <w:left w:val="none" w:sz="0" w:space="0" w:color="auto"/>
        <w:bottom w:val="none" w:sz="0" w:space="0" w:color="auto"/>
        <w:right w:val="none" w:sz="0" w:space="0" w:color="auto"/>
      </w:divBdr>
      <w:divsChild>
        <w:div w:id="1395082407">
          <w:marLeft w:val="0"/>
          <w:marRight w:val="0"/>
          <w:marTop w:val="0"/>
          <w:marBottom w:val="0"/>
          <w:divBdr>
            <w:top w:val="none" w:sz="0" w:space="0" w:color="auto"/>
            <w:left w:val="none" w:sz="0" w:space="0" w:color="auto"/>
            <w:bottom w:val="none" w:sz="0" w:space="0" w:color="auto"/>
            <w:right w:val="none" w:sz="0" w:space="0" w:color="auto"/>
          </w:divBdr>
        </w:div>
      </w:divsChild>
    </w:div>
    <w:div w:id="1521622601">
      <w:bodyDiv w:val="1"/>
      <w:marLeft w:val="0"/>
      <w:marRight w:val="0"/>
      <w:marTop w:val="0"/>
      <w:marBottom w:val="0"/>
      <w:divBdr>
        <w:top w:val="none" w:sz="0" w:space="0" w:color="auto"/>
        <w:left w:val="none" w:sz="0" w:space="0" w:color="auto"/>
        <w:bottom w:val="none" w:sz="0" w:space="0" w:color="auto"/>
        <w:right w:val="none" w:sz="0" w:space="0" w:color="auto"/>
      </w:divBdr>
      <w:divsChild>
        <w:div w:id="1304580427">
          <w:marLeft w:val="0"/>
          <w:marRight w:val="0"/>
          <w:marTop w:val="0"/>
          <w:marBottom w:val="0"/>
          <w:divBdr>
            <w:top w:val="none" w:sz="0" w:space="0" w:color="auto"/>
            <w:left w:val="none" w:sz="0" w:space="0" w:color="auto"/>
            <w:bottom w:val="none" w:sz="0" w:space="0" w:color="auto"/>
            <w:right w:val="none" w:sz="0" w:space="0" w:color="auto"/>
          </w:divBdr>
        </w:div>
      </w:divsChild>
    </w:div>
    <w:div w:id="1592809883">
      <w:bodyDiv w:val="1"/>
      <w:marLeft w:val="0"/>
      <w:marRight w:val="0"/>
      <w:marTop w:val="0"/>
      <w:marBottom w:val="0"/>
      <w:divBdr>
        <w:top w:val="none" w:sz="0" w:space="0" w:color="auto"/>
        <w:left w:val="none" w:sz="0" w:space="0" w:color="auto"/>
        <w:bottom w:val="none" w:sz="0" w:space="0" w:color="auto"/>
        <w:right w:val="none" w:sz="0" w:space="0" w:color="auto"/>
      </w:divBdr>
      <w:divsChild>
        <w:div w:id="1961300492">
          <w:marLeft w:val="0"/>
          <w:marRight w:val="0"/>
          <w:marTop w:val="0"/>
          <w:marBottom w:val="0"/>
          <w:divBdr>
            <w:top w:val="none" w:sz="0" w:space="0" w:color="auto"/>
            <w:left w:val="none" w:sz="0" w:space="0" w:color="auto"/>
            <w:bottom w:val="none" w:sz="0" w:space="0" w:color="auto"/>
            <w:right w:val="none" w:sz="0" w:space="0" w:color="auto"/>
          </w:divBdr>
        </w:div>
      </w:divsChild>
    </w:div>
    <w:div w:id="1703477523">
      <w:bodyDiv w:val="1"/>
      <w:marLeft w:val="0"/>
      <w:marRight w:val="0"/>
      <w:marTop w:val="0"/>
      <w:marBottom w:val="0"/>
      <w:divBdr>
        <w:top w:val="none" w:sz="0" w:space="0" w:color="auto"/>
        <w:left w:val="none" w:sz="0" w:space="0" w:color="auto"/>
        <w:bottom w:val="none" w:sz="0" w:space="0" w:color="auto"/>
        <w:right w:val="none" w:sz="0" w:space="0" w:color="auto"/>
      </w:divBdr>
      <w:divsChild>
        <w:div w:id="101725901">
          <w:marLeft w:val="0"/>
          <w:marRight w:val="0"/>
          <w:marTop w:val="0"/>
          <w:marBottom w:val="0"/>
          <w:divBdr>
            <w:top w:val="none" w:sz="0" w:space="0" w:color="auto"/>
            <w:left w:val="none" w:sz="0" w:space="0" w:color="auto"/>
            <w:bottom w:val="none" w:sz="0" w:space="0" w:color="auto"/>
            <w:right w:val="none" w:sz="0" w:space="0" w:color="auto"/>
          </w:divBdr>
        </w:div>
      </w:divsChild>
    </w:div>
    <w:div w:id="1996564241">
      <w:bodyDiv w:val="1"/>
      <w:marLeft w:val="0"/>
      <w:marRight w:val="0"/>
      <w:marTop w:val="0"/>
      <w:marBottom w:val="0"/>
      <w:divBdr>
        <w:top w:val="none" w:sz="0" w:space="0" w:color="auto"/>
        <w:left w:val="none" w:sz="0" w:space="0" w:color="auto"/>
        <w:bottom w:val="none" w:sz="0" w:space="0" w:color="auto"/>
        <w:right w:val="none" w:sz="0" w:space="0" w:color="auto"/>
      </w:divBdr>
      <w:divsChild>
        <w:div w:id="903183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4F11C-E291-460A-8ECF-B368DE13B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1376</Words>
  <Characters>8261</Characters>
  <Application>Microsoft Office Word</Application>
  <DocSecurity>4</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Rafał</cp:lastModifiedBy>
  <cp:revision>2</cp:revision>
  <dcterms:created xsi:type="dcterms:W3CDTF">2021-05-28T08:25:00Z</dcterms:created>
  <dcterms:modified xsi:type="dcterms:W3CDTF">2021-05-28T08:25:00Z</dcterms:modified>
</cp:coreProperties>
</file>